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FE" w:rsidRDefault="005728FE" w:rsidP="005728FE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16 Febbraio 2017</w:t>
      </w:r>
    </w:p>
    <w:p w:rsidR="005728FE" w:rsidRDefault="005728FE" w:rsidP="005728FE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728FE" w:rsidRPr="005728FE" w:rsidRDefault="005728FE" w:rsidP="005728FE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728F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CONFERENZA STAMPA</w:t>
      </w:r>
    </w:p>
    <w:p w:rsidR="005728FE" w:rsidRPr="005728FE" w:rsidRDefault="005728FE" w:rsidP="005728FE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proofErr w:type="gramStart"/>
      <w:r w:rsidRPr="005728F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La dimensione del comparto della logistica e dei trasporti nella provincia di Piacenza</w:t>
      </w:r>
      <w:proofErr w:type="gramEnd"/>
    </w:p>
    <w:p w:rsidR="005728FE" w:rsidRPr="005728FE" w:rsidRDefault="005728FE" w:rsidP="005728FE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728FE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Focus sul Polo Le Mose</w:t>
      </w:r>
    </w:p>
    <w:p w:rsidR="005728FE" w:rsidRDefault="005728FE" w:rsidP="005728FE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21219D" w:rsidRDefault="00410030" w:rsidP="001165D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Tra la fine degli anni 90 e l’inizio del 2000 sul territorio piacentino si sono sviluppati diversi poli logistici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importanti dimensioni, scelti come insediamenti ottimali dai principali player sia italiani che europei. Gli insediamenti logistici nella provincia di Piacenza superano 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milioni di metri quadrati.</w:t>
      </w:r>
    </w:p>
    <w:p w:rsidR="00410030" w:rsidRDefault="001165D8" w:rsidP="001165D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 livello provinciale, in direzione ovest, va segnalata l’esistenza </w:t>
      </w:r>
      <w:r w:rsid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>del “</w:t>
      </w:r>
      <w:proofErr w:type="spellStart"/>
      <w:r w:rsid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>Logistic</w:t>
      </w:r>
      <w:proofErr w:type="spellEnd"/>
      <w:r w:rsid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>Park</w:t>
      </w:r>
      <w:proofErr w:type="gramEnd"/>
      <w:r w:rsid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>” di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Castel San Giovanni, che si sviluppa a ridosso dell’autostrada A21. In direzione nord-est, verso Cremona, da menzionare gli insediamenti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del “Magna Park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” di Monticelli d’Ongina e verso Parma, gli insediamenti di Pontenure e del distretto Fiorenzuola-Cortemaggiore.</w:t>
      </w:r>
    </w:p>
    <w:p w:rsidR="0069619B" w:rsidRDefault="0069619B" w:rsidP="008D2D59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</w:p>
    <w:p w:rsidR="0021219D" w:rsidRDefault="00D1738B" w:rsidP="008D2D59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CASTEL SAN GIOVANNI</w:t>
      </w:r>
      <w:r w:rsidR="00A251FD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– </w:t>
      </w:r>
      <w:proofErr w:type="spellStart"/>
      <w:r w:rsidR="00A251FD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Logistic</w:t>
      </w:r>
      <w:proofErr w:type="spellEnd"/>
      <w:r w:rsidR="00A251FD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Park</w:t>
      </w:r>
    </w:p>
    <w:p w:rsidR="00D1738B" w:rsidRPr="00D1738B" w:rsidRDefault="00D1738B" w:rsidP="00DB2CA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 primi insediamenti risalgono al</w:t>
      </w:r>
      <w:r w:rsidRP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2004. </w:t>
      </w:r>
      <w:r w:rsidR="0065575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 superficie complessiva che ospita i diversi insediamenti logistici e le infrastrutture viarie </w:t>
      </w:r>
      <w:proofErr w:type="gramStart"/>
      <w:r w:rsidR="00655758">
        <w:rPr>
          <w:rFonts w:ascii="Times New Roman" w:hAnsi="Times New Roman" w:cs="Times New Roman"/>
          <w:color w:val="000000"/>
          <w:sz w:val="24"/>
          <w:szCs w:val="24"/>
          <w:lang w:val="it-IT"/>
        </w:rPr>
        <w:t>è</w:t>
      </w:r>
      <w:proofErr w:type="gramEnd"/>
      <w:r w:rsidR="0065575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 circa 1,</w:t>
      </w:r>
      <w:r w:rsid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8</w:t>
      </w:r>
      <w:r w:rsidR="0065575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milioni di mq.</w:t>
      </w:r>
      <w:r w:rsidR="00B32D0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L’area è recintata e ha un servizio di guardiania, con </w:t>
      </w:r>
      <w:r w:rsidR="00496B06" w:rsidRPr="00D1738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una gestione </w:t>
      </w:r>
      <w:r w:rsid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organizzata di tipo condominiale, in capo a </w:t>
      </w:r>
      <w:proofErr w:type="spellStart"/>
      <w:r w:rsid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>Vailog</w:t>
      </w:r>
      <w:proofErr w:type="spellEnd"/>
      <w:r w:rsid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</w:p>
    <w:p w:rsidR="00D1738B" w:rsidRDefault="0099500B" w:rsidP="00D173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Le principali merceologie movimentate sono </w:t>
      </w:r>
      <w:proofErr w:type="spellStart"/>
      <w:proofErr w:type="gramStart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food</w:t>
      </w:r>
      <w:proofErr w:type="spellEnd"/>
      <w:proofErr w:type="gramEnd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&amp; </w:t>
      </w:r>
      <w:proofErr w:type="spellStart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grocery</w:t>
      </w:r>
      <w:proofErr w:type="spellEnd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fashion, high </w:t>
      </w:r>
      <w:proofErr w:type="spellStart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tech</w:t>
      </w:r>
      <w:proofErr w:type="spellEnd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ed elettrodomestici, </w:t>
      </w:r>
      <w:proofErr w:type="spellStart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retail</w:t>
      </w:r>
      <w:proofErr w:type="spellEnd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e-business, </w:t>
      </w:r>
      <w:proofErr w:type="spellStart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toys</w:t>
      </w:r>
      <w:proofErr w:type="spellEnd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>automotive</w:t>
      </w:r>
      <w:proofErr w:type="spellEnd"/>
      <w:r w:rsidRPr="0099500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 bricolage.</w:t>
      </w:r>
    </w:p>
    <w:p w:rsidR="0099500B" w:rsidRDefault="0099500B" w:rsidP="00D173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 p</w:t>
      </w:r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>rincipali p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rovider logistici insediati sono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Geodis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Amazon,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Rajapack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Adveo</w:t>
      </w:r>
      <w:proofErr w:type="spellEnd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Italia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 Ceva</w:t>
      </w:r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DSV </w:t>
      </w:r>
      <w:proofErr w:type="spellStart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>Saima</w:t>
      </w:r>
      <w:proofErr w:type="spellEnd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>Avandero</w:t>
      </w:r>
      <w:proofErr w:type="spellEnd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Alcuni dei marchi gestiti sono Bosch, LG </w:t>
      </w:r>
      <w:proofErr w:type="spellStart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>Electronics</w:t>
      </w:r>
      <w:proofErr w:type="spellEnd"/>
      <w:r w:rsidR="00E350FC">
        <w:rPr>
          <w:rFonts w:ascii="Times New Roman" w:hAnsi="Times New Roman" w:cs="Times New Roman"/>
          <w:color w:val="000000"/>
          <w:sz w:val="24"/>
          <w:szCs w:val="24"/>
          <w:lang w:val="it-IT"/>
        </w:rPr>
        <w:t>, Conad, QVC, Leroy Merlin, Yamaha e Giochi Preziosi.</w:t>
      </w:r>
    </w:p>
    <w:p w:rsidR="0099500B" w:rsidRPr="0099500B" w:rsidRDefault="00496B06" w:rsidP="00D1738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All’interno dei depositi operano complessivamente, in media,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circa 2</w:t>
      </w:r>
      <w:r w:rsidRP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5</w:t>
      </w:r>
      <w:r w:rsidRPr="00496B06">
        <w:rPr>
          <w:rFonts w:ascii="Times New Roman" w:hAnsi="Times New Roman" w:cs="Times New Roman"/>
          <w:color w:val="000000"/>
          <w:sz w:val="24"/>
          <w:szCs w:val="24"/>
          <w:lang w:val="it-IT"/>
        </w:rPr>
        <w:t>00 addetti.</w:t>
      </w:r>
    </w:p>
    <w:p w:rsidR="0069619B" w:rsidRDefault="0069619B" w:rsidP="00A251FD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</w:p>
    <w:p w:rsidR="00A251FD" w:rsidRPr="00A251FD" w:rsidRDefault="00A251FD" w:rsidP="00A251FD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MONTICELLI D’ONGINA - </w:t>
      </w:r>
      <w:r w:rsidRPr="00A251FD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Magna </w:t>
      </w:r>
      <w:proofErr w:type="gramStart"/>
      <w:r w:rsidRPr="00A251FD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Park</w:t>
      </w:r>
      <w:proofErr w:type="gramEnd"/>
    </w:p>
    <w:p w:rsidR="00A251FD" w:rsidRPr="00A251FD" w:rsidRDefault="00A251FD" w:rsidP="00A251FD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251F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Anche in questo caso i primi insediamenti risalgono al 2004. La superficie complessiva è di circa 400mila metri quadrati e i principali insediati sono Scerni </w:t>
      </w:r>
      <w:proofErr w:type="spellStart"/>
      <w:r w:rsidRPr="00A251FD">
        <w:rPr>
          <w:rFonts w:ascii="Times New Roman" w:hAnsi="Times New Roman" w:cs="Times New Roman"/>
          <w:color w:val="000000"/>
          <w:sz w:val="24"/>
          <w:szCs w:val="24"/>
          <w:lang w:val="it-IT"/>
        </w:rPr>
        <w:t>Logistics</w:t>
      </w:r>
      <w:proofErr w:type="spellEnd"/>
      <w:r w:rsidRPr="00A251F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 </w:t>
      </w:r>
      <w:proofErr w:type="spellStart"/>
      <w:r w:rsidRPr="00A251FD">
        <w:rPr>
          <w:rFonts w:ascii="Times New Roman" w:hAnsi="Times New Roman" w:cs="Times New Roman"/>
          <w:color w:val="000000"/>
          <w:sz w:val="24"/>
          <w:szCs w:val="24"/>
          <w:lang w:val="it-IT"/>
        </w:rPr>
        <w:t>Lyreco</w:t>
      </w:r>
      <w:proofErr w:type="spellEnd"/>
      <w:r w:rsidRPr="00A251FD">
        <w:rPr>
          <w:rFonts w:ascii="Times New Roman" w:hAnsi="Times New Roman" w:cs="Times New Roman"/>
          <w:color w:val="000000"/>
          <w:sz w:val="24"/>
          <w:szCs w:val="24"/>
          <w:lang w:val="it-IT"/>
        </w:rPr>
        <w:t>. Gli addetti del comparto complessivamente sono circa 200.</w:t>
      </w:r>
    </w:p>
    <w:p w:rsidR="00657AD2" w:rsidRDefault="00657AD2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69619B" w:rsidRDefault="0069619B" w:rsidP="008D2D59">
      <w:pPr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21219D" w:rsidRPr="0021219D" w:rsidRDefault="0021219D" w:rsidP="008D2D59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  <w:r w:rsidRPr="0021219D"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  <w:t>FOCUS SU POLO LE MOSE DI PIACENZA</w:t>
      </w:r>
    </w:p>
    <w:p w:rsidR="00E66649" w:rsidRDefault="00777D14" w:rsidP="00391370">
      <w:pPr>
        <w:rPr>
          <w:rFonts w:ascii="Times New Roman" w:hAnsi="Times New Roman" w:cs="Times New Roman"/>
          <w:b/>
          <w:sz w:val="24"/>
          <w:lang w:val="it-IT"/>
        </w:rPr>
      </w:pPr>
      <w:r w:rsidRPr="00777D14">
        <w:rPr>
          <w:rFonts w:ascii="Times New Roman" w:hAnsi="Times New Roman" w:cs="Times New Roman"/>
          <w:b/>
          <w:sz w:val="24"/>
          <w:lang w:val="it-IT"/>
        </w:rPr>
        <w:t>Le s</w:t>
      </w:r>
      <w:r w:rsidR="008214ED" w:rsidRPr="00777D14">
        <w:rPr>
          <w:rFonts w:ascii="Times New Roman" w:hAnsi="Times New Roman" w:cs="Times New Roman"/>
          <w:b/>
          <w:sz w:val="24"/>
          <w:lang w:val="it-IT"/>
        </w:rPr>
        <w:t>uperfici</w:t>
      </w:r>
      <w:r w:rsidR="00712F06">
        <w:rPr>
          <w:rFonts w:ascii="Times New Roman" w:hAnsi="Times New Roman" w:cs="Times New Roman"/>
          <w:b/>
          <w:sz w:val="24"/>
          <w:lang w:val="it-IT"/>
        </w:rPr>
        <w:t xml:space="preserve"> di Le Mose</w:t>
      </w:r>
    </w:p>
    <w:p w:rsidR="006B5AD5" w:rsidRPr="006B5AD5" w:rsidRDefault="00695C7E" w:rsidP="006B5AD5">
      <w:pPr>
        <w:jc w:val="both"/>
        <w:rPr>
          <w:rFonts w:ascii="Times New Roman" w:hAnsi="Times New Roman" w:cs="Times New Roman"/>
          <w:sz w:val="24"/>
          <w:lang w:val="it-IT"/>
        </w:rPr>
      </w:pPr>
      <w:r w:rsidRPr="00E44CA8">
        <w:rPr>
          <w:rFonts w:ascii="Times New Roman" w:hAnsi="Times New Roman" w:cs="Times New Roman"/>
          <w:sz w:val="24"/>
          <w:lang w:val="it-IT"/>
        </w:rPr>
        <w:t xml:space="preserve">Gli insediamenti logistici del Polo </w:t>
      </w:r>
      <w:r w:rsidR="005A5F37" w:rsidRPr="00E44CA8">
        <w:rPr>
          <w:rFonts w:ascii="Times New Roman" w:hAnsi="Times New Roman" w:cs="Times New Roman"/>
          <w:sz w:val="24"/>
          <w:lang w:val="it-IT"/>
        </w:rPr>
        <w:t xml:space="preserve">di </w:t>
      </w:r>
      <w:r w:rsidRPr="00E44CA8">
        <w:rPr>
          <w:rFonts w:ascii="Times New Roman" w:hAnsi="Times New Roman" w:cs="Times New Roman"/>
          <w:sz w:val="24"/>
          <w:lang w:val="it-IT"/>
        </w:rPr>
        <w:t xml:space="preserve">Le Mose </w:t>
      </w:r>
      <w:r w:rsidR="00D657A1">
        <w:rPr>
          <w:rFonts w:ascii="Times New Roman" w:hAnsi="Times New Roman" w:cs="Times New Roman"/>
          <w:sz w:val="24"/>
          <w:lang w:val="it-IT"/>
        </w:rPr>
        <w:t xml:space="preserve">a Piacenza </w:t>
      </w:r>
      <w:r w:rsidRPr="00E44CA8">
        <w:rPr>
          <w:rFonts w:ascii="Times New Roman" w:hAnsi="Times New Roman" w:cs="Times New Roman"/>
          <w:sz w:val="24"/>
          <w:lang w:val="it-IT"/>
        </w:rPr>
        <w:t>occupano una superficie fondiaria di circa 1</w:t>
      </w:r>
      <w:r w:rsidR="006B5AD5">
        <w:rPr>
          <w:rFonts w:ascii="Times New Roman" w:hAnsi="Times New Roman" w:cs="Times New Roman"/>
          <w:sz w:val="24"/>
          <w:lang w:val="it-IT"/>
        </w:rPr>
        <w:t>,4 milioni di mq,</w:t>
      </w:r>
      <w:r w:rsidR="000719CB">
        <w:rPr>
          <w:rFonts w:ascii="Times New Roman" w:hAnsi="Times New Roman" w:cs="Times New Roman"/>
          <w:sz w:val="24"/>
          <w:lang w:val="it-IT"/>
        </w:rPr>
        <w:t xml:space="preserve"> </w:t>
      </w:r>
      <w:r w:rsidR="006B5AD5" w:rsidRPr="006B5AD5">
        <w:rPr>
          <w:rFonts w:ascii="Times New Roman" w:hAnsi="Times New Roman" w:cs="Times New Roman"/>
          <w:sz w:val="24"/>
          <w:lang w:val="it-IT"/>
        </w:rPr>
        <w:t xml:space="preserve">di cui circa </w:t>
      </w:r>
      <w:r w:rsidR="00712F06">
        <w:rPr>
          <w:rFonts w:ascii="Times New Roman" w:hAnsi="Times New Roman" w:cs="Times New Roman"/>
          <w:sz w:val="24"/>
          <w:lang w:val="it-IT"/>
        </w:rPr>
        <w:t xml:space="preserve">il 50% è rappresentato da magazzini e uffici, il rimanente 50% </w:t>
      </w:r>
      <w:proofErr w:type="gramStart"/>
      <w:r w:rsidR="00712F06">
        <w:rPr>
          <w:rFonts w:ascii="Times New Roman" w:hAnsi="Times New Roman" w:cs="Times New Roman"/>
          <w:sz w:val="24"/>
          <w:lang w:val="it-IT"/>
        </w:rPr>
        <w:t>è</w:t>
      </w:r>
      <w:proofErr w:type="gramEnd"/>
      <w:r w:rsidR="00712F06">
        <w:rPr>
          <w:rFonts w:ascii="Times New Roman" w:hAnsi="Times New Roman" w:cs="Times New Roman"/>
          <w:sz w:val="24"/>
          <w:lang w:val="it-IT"/>
        </w:rPr>
        <w:t xml:space="preserve"> </w:t>
      </w:r>
      <w:r w:rsidR="006B5AD5" w:rsidRPr="006B5AD5">
        <w:rPr>
          <w:rFonts w:ascii="Times New Roman" w:hAnsi="Times New Roman" w:cs="Times New Roman"/>
          <w:sz w:val="24"/>
          <w:lang w:val="it-IT"/>
        </w:rPr>
        <w:t xml:space="preserve">superficie scoperta, </w:t>
      </w:r>
      <w:r w:rsidR="00712F06">
        <w:rPr>
          <w:rFonts w:ascii="Times New Roman" w:hAnsi="Times New Roman" w:cs="Times New Roman"/>
          <w:sz w:val="24"/>
          <w:lang w:val="it-IT"/>
        </w:rPr>
        <w:t xml:space="preserve">ovvero </w:t>
      </w:r>
      <w:r w:rsidR="006B5AD5">
        <w:rPr>
          <w:rFonts w:ascii="Times New Roman" w:hAnsi="Times New Roman" w:cs="Times New Roman"/>
          <w:sz w:val="24"/>
          <w:lang w:val="it-IT"/>
        </w:rPr>
        <w:t>p</w:t>
      </w:r>
      <w:r w:rsidR="006B5AD5" w:rsidRPr="006B5AD5">
        <w:rPr>
          <w:rFonts w:ascii="Times New Roman" w:hAnsi="Times New Roman" w:cs="Times New Roman"/>
          <w:sz w:val="24"/>
          <w:lang w:val="it-IT"/>
        </w:rPr>
        <w:t>iazzali interni alle aree degli operatori adibiti alla movimentazione (entrata e uscita) dei mezzi di trasporto della merce.</w:t>
      </w:r>
    </w:p>
    <w:p w:rsidR="006B5AD5" w:rsidRDefault="006B5AD5" w:rsidP="006B5AD5">
      <w:pPr>
        <w:jc w:val="both"/>
        <w:rPr>
          <w:rFonts w:ascii="Times New Roman" w:hAnsi="Times New Roman" w:cs="Times New Roman"/>
          <w:sz w:val="24"/>
          <w:lang w:val="it-IT"/>
        </w:rPr>
      </w:pPr>
      <w:r w:rsidRPr="006B5AD5">
        <w:rPr>
          <w:rFonts w:ascii="Times New Roman" w:hAnsi="Times New Roman" w:cs="Times New Roman"/>
          <w:sz w:val="24"/>
          <w:lang w:val="it-IT"/>
        </w:rPr>
        <w:t xml:space="preserve">Il rapporto fra gli immobili locati rispetto agli </w:t>
      </w:r>
      <w:proofErr w:type="gramStart"/>
      <w:r w:rsidRPr="006B5AD5">
        <w:rPr>
          <w:rFonts w:ascii="Times New Roman" w:hAnsi="Times New Roman" w:cs="Times New Roman"/>
          <w:sz w:val="24"/>
          <w:lang w:val="it-IT"/>
        </w:rPr>
        <w:t>immobili</w:t>
      </w:r>
      <w:proofErr w:type="gramEnd"/>
      <w:r w:rsidRPr="006B5AD5">
        <w:rPr>
          <w:rFonts w:ascii="Times New Roman" w:hAnsi="Times New Roman" w:cs="Times New Roman"/>
          <w:sz w:val="24"/>
          <w:lang w:val="it-IT"/>
        </w:rPr>
        <w:t xml:space="preserve"> costruiti è circa pari al 95%: la quasi totalità dei depositi disponibili a Le Mose è utilizzata.</w:t>
      </w:r>
    </w:p>
    <w:p w:rsidR="00BB07CA" w:rsidRDefault="00A108B8" w:rsidP="00BB07CA">
      <w:pPr>
        <w:jc w:val="both"/>
        <w:rPr>
          <w:rFonts w:ascii="Times New Roman" w:hAnsi="Times New Roman" w:cs="Times New Roman"/>
          <w:sz w:val="24"/>
          <w:lang w:val="it-IT"/>
        </w:rPr>
      </w:pPr>
      <w:r w:rsidRPr="00E44CA8">
        <w:rPr>
          <w:rFonts w:ascii="Times New Roman" w:hAnsi="Times New Roman" w:cs="Times New Roman"/>
          <w:sz w:val="24"/>
          <w:lang w:val="it-IT"/>
        </w:rPr>
        <w:t xml:space="preserve">Aggiungendo le aree comuni, tra cui 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strade, parcheggi pubblici e aree verdi, </w:t>
      </w:r>
      <w:r w:rsidR="00A53559" w:rsidRPr="00E44CA8">
        <w:rPr>
          <w:rFonts w:ascii="Times New Roman" w:hAnsi="Times New Roman" w:cs="Times New Roman"/>
          <w:sz w:val="24"/>
          <w:lang w:val="it-IT"/>
        </w:rPr>
        <w:t>la superfic</w:t>
      </w:r>
      <w:r w:rsidR="000719CB">
        <w:rPr>
          <w:rFonts w:ascii="Times New Roman" w:hAnsi="Times New Roman" w:cs="Times New Roman"/>
          <w:sz w:val="24"/>
          <w:lang w:val="it-IT"/>
        </w:rPr>
        <w:t>i</w:t>
      </w:r>
      <w:r w:rsidR="00A53559" w:rsidRPr="00E44CA8">
        <w:rPr>
          <w:rFonts w:ascii="Times New Roman" w:hAnsi="Times New Roman" w:cs="Times New Roman"/>
          <w:sz w:val="24"/>
          <w:lang w:val="it-IT"/>
        </w:rPr>
        <w:t xml:space="preserve">e </w:t>
      </w:r>
      <w:r w:rsidR="000719CB">
        <w:rPr>
          <w:rFonts w:ascii="Times New Roman" w:hAnsi="Times New Roman" w:cs="Times New Roman"/>
          <w:sz w:val="24"/>
          <w:lang w:val="it-IT"/>
        </w:rPr>
        <w:t>sviluppata</w:t>
      </w:r>
      <w:r w:rsidR="00A53559" w:rsidRPr="00E44CA8">
        <w:rPr>
          <w:rFonts w:ascii="Times New Roman" w:hAnsi="Times New Roman" w:cs="Times New Roman"/>
          <w:sz w:val="24"/>
          <w:lang w:val="it-IT"/>
        </w:rPr>
        <w:t xml:space="preserve"> arriva </w:t>
      </w:r>
      <w:proofErr w:type="gramStart"/>
      <w:r w:rsidR="00A53559" w:rsidRPr="00E44CA8">
        <w:rPr>
          <w:rFonts w:ascii="Times New Roman" w:hAnsi="Times New Roman" w:cs="Times New Roman"/>
          <w:sz w:val="24"/>
          <w:lang w:val="it-IT"/>
        </w:rPr>
        <w:t>ad</w:t>
      </w:r>
      <w:proofErr w:type="gramEnd"/>
      <w:r w:rsidR="00A53559" w:rsidRPr="00E44CA8">
        <w:rPr>
          <w:rFonts w:ascii="Times New Roman" w:hAnsi="Times New Roman" w:cs="Times New Roman"/>
          <w:sz w:val="24"/>
          <w:lang w:val="it-IT"/>
        </w:rPr>
        <w:t xml:space="preserve"> 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un totale di circa </w:t>
      </w:r>
      <w:r w:rsidR="00E224EF">
        <w:rPr>
          <w:rFonts w:ascii="Times New Roman" w:hAnsi="Times New Roman" w:cs="Times New Roman"/>
          <w:sz w:val="24"/>
          <w:lang w:val="it-IT"/>
        </w:rPr>
        <w:t xml:space="preserve">2 </w:t>
      </w:r>
      <w:r w:rsidR="00BB07CA" w:rsidRPr="00E44CA8">
        <w:rPr>
          <w:rFonts w:ascii="Times New Roman" w:hAnsi="Times New Roman" w:cs="Times New Roman"/>
          <w:sz w:val="24"/>
          <w:lang w:val="it-IT"/>
        </w:rPr>
        <w:t>milion</w:t>
      </w:r>
      <w:r w:rsidR="00E224EF">
        <w:rPr>
          <w:rFonts w:ascii="Times New Roman" w:hAnsi="Times New Roman" w:cs="Times New Roman"/>
          <w:sz w:val="24"/>
          <w:lang w:val="it-IT"/>
        </w:rPr>
        <w:t xml:space="preserve">i di </w:t>
      </w:r>
      <w:r w:rsidR="000719CB">
        <w:rPr>
          <w:rFonts w:ascii="Times New Roman" w:hAnsi="Times New Roman" w:cs="Times New Roman"/>
          <w:sz w:val="24"/>
          <w:lang w:val="it-IT"/>
        </w:rPr>
        <w:t>mq</w:t>
      </w:r>
      <w:r w:rsidR="00E224EF">
        <w:rPr>
          <w:rFonts w:ascii="Times New Roman" w:hAnsi="Times New Roman" w:cs="Times New Roman"/>
          <w:sz w:val="24"/>
          <w:lang w:val="it-IT"/>
        </w:rPr>
        <w:t>.</w:t>
      </w:r>
      <w:r w:rsidR="003F2349">
        <w:rPr>
          <w:rFonts w:ascii="Times New Roman" w:hAnsi="Times New Roman" w:cs="Times New Roman"/>
          <w:sz w:val="24"/>
          <w:lang w:val="it-IT"/>
        </w:rPr>
        <w:t xml:space="preserve"> 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Se si considera </w:t>
      </w:r>
      <w:r w:rsidR="006A31AC" w:rsidRPr="00E44CA8">
        <w:rPr>
          <w:rFonts w:ascii="Times New Roman" w:hAnsi="Times New Roman" w:cs="Times New Roman"/>
          <w:sz w:val="24"/>
          <w:lang w:val="it-IT"/>
        </w:rPr>
        <w:t xml:space="preserve">anche 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la superficie </w:t>
      </w:r>
      <w:proofErr w:type="gramStart"/>
      <w:r w:rsidR="00BB07CA" w:rsidRPr="00E44CA8">
        <w:rPr>
          <w:rFonts w:ascii="Times New Roman" w:hAnsi="Times New Roman" w:cs="Times New Roman"/>
          <w:sz w:val="24"/>
          <w:lang w:val="it-IT"/>
        </w:rPr>
        <w:t>fondiaria</w:t>
      </w:r>
      <w:proofErr w:type="gramEnd"/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 ancora da sviluppare</w:t>
      </w:r>
      <w:r w:rsidR="000719CB">
        <w:rPr>
          <w:rFonts w:ascii="Times New Roman" w:hAnsi="Times New Roman" w:cs="Times New Roman"/>
          <w:sz w:val="24"/>
          <w:lang w:val="it-IT"/>
        </w:rPr>
        <w:t xml:space="preserve">, 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di proprietà di Generali </w:t>
      </w:r>
      <w:proofErr w:type="spellStart"/>
      <w:r w:rsidR="00BB07CA" w:rsidRPr="00E44CA8">
        <w:rPr>
          <w:rFonts w:ascii="Times New Roman" w:hAnsi="Times New Roman" w:cs="Times New Roman"/>
          <w:sz w:val="24"/>
          <w:lang w:val="it-IT"/>
        </w:rPr>
        <w:t>Properties</w:t>
      </w:r>
      <w:proofErr w:type="spellEnd"/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 e </w:t>
      </w:r>
      <w:r w:rsidR="000D6D58" w:rsidRPr="00E44CA8">
        <w:rPr>
          <w:rFonts w:ascii="Times New Roman" w:hAnsi="Times New Roman" w:cs="Times New Roman"/>
          <w:sz w:val="24"/>
          <w:lang w:val="it-IT"/>
        </w:rPr>
        <w:t xml:space="preserve">del 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Centro Intermodale </w:t>
      </w:r>
      <w:r w:rsidR="000D6D58" w:rsidRPr="00E44CA8">
        <w:rPr>
          <w:rFonts w:ascii="Times New Roman" w:hAnsi="Times New Roman" w:cs="Times New Roman"/>
          <w:sz w:val="24"/>
          <w:lang w:val="it-IT"/>
        </w:rPr>
        <w:t xml:space="preserve">spa </w:t>
      </w:r>
      <w:r w:rsidR="00BB07CA" w:rsidRPr="00E44CA8">
        <w:rPr>
          <w:rFonts w:ascii="Times New Roman" w:hAnsi="Times New Roman" w:cs="Times New Roman"/>
          <w:sz w:val="24"/>
          <w:lang w:val="it-IT"/>
        </w:rPr>
        <w:t>(società d</w:t>
      </w:r>
      <w:r w:rsidR="0046413C" w:rsidRPr="00E44CA8">
        <w:rPr>
          <w:rFonts w:ascii="Times New Roman" w:hAnsi="Times New Roman" w:cs="Times New Roman"/>
          <w:sz w:val="24"/>
          <w:lang w:val="it-IT"/>
        </w:rPr>
        <w:t>el Gruppo</w:t>
      </w:r>
      <w:r w:rsidR="000D6D58" w:rsidRPr="00E44CA8">
        <w:rPr>
          <w:rFonts w:ascii="Times New Roman" w:hAnsi="Times New Roman" w:cs="Times New Roman"/>
          <w:sz w:val="24"/>
          <w:lang w:val="it-IT"/>
        </w:rPr>
        <w:t xml:space="preserve"> </w:t>
      </w:r>
      <w:proofErr w:type="spellStart"/>
      <w:r w:rsidR="00BB07CA" w:rsidRPr="00E44CA8">
        <w:rPr>
          <w:rFonts w:ascii="Times New Roman" w:hAnsi="Times New Roman" w:cs="Times New Roman"/>
          <w:sz w:val="24"/>
          <w:lang w:val="it-IT"/>
        </w:rPr>
        <w:t>Hupac</w:t>
      </w:r>
      <w:proofErr w:type="spellEnd"/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), il polo Le Mose </w:t>
      </w:r>
      <w:r w:rsidR="001B7BC7" w:rsidRPr="00E44CA8">
        <w:rPr>
          <w:rFonts w:ascii="Times New Roman" w:hAnsi="Times New Roman" w:cs="Times New Roman"/>
          <w:sz w:val="24"/>
          <w:lang w:val="it-IT"/>
        </w:rPr>
        <w:t xml:space="preserve">raggiunge </w:t>
      </w:r>
      <w:r w:rsidR="00BB07CA" w:rsidRPr="00E44CA8">
        <w:rPr>
          <w:rFonts w:ascii="Times New Roman" w:hAnsi="Times New Roman" w:cs="Times New Roman"/>
          <w:sz w:val="24"/>
          <w:lang w:val="it-IT"/>
        </w:rPr>
        <w:t>un</w:t>
      </w:r>
      <w:r w:rsidR="00695C7E" w:rsidRPr="00E44CA8">
        <w:rPr>
          <w:rFonts w:ascii="Times New Roman" w:hAnsi="Times New Roman" w:cs="Times New Roman"/>
          <w:sz w:val="24"/>
          <w:lang w:val="it-IT"/>
        </w:rPr>
        <w:t>’estensione</w:t>
      </w:r>
      <w:r w:rsidR="00BB07CA" w:rsidRPr="00E44CA8">
        <w:rPr>
          <w:rFonts w:ascii="Times New Roman" w:hAnsi="Times New Roman" w:cs="Times New Roman"/>
          <w:sz w:val="24"/>
          <w:lang w:val="it-IT"/>
        </w:rPr>
        <w:t xml:space="preserve"> </w:t>
      </w:r>
      <w:r w:rsidR="006A31AC" w:rsidRPr="00E44CA8">
        <w:rPr>
          <w:rFonts w:ascii="Times New Roman" w:hAnsi="Times New Roman" w:cs="Times New Roman"/>
          <w:sz w:val="24"/>
          <w:lang w:val="it-IT"/>
        </w:rPr>
        <w:t>complessiva</w:t>
      </w:r>
      <w:r w:rsidR="00E224EF">
        <w:rPr>
          <w:rFonts w:ascii="Times New Roman" w:hAnsi="Times New Roman" w:cs="Times New Roman"/>
          <w:sz w:val="24"/>
          <w:lang w:val="it-IT"/>
        </w:rPr>
        <w:t xml:space="preserve"> di </w:t>
      </w:r>
      <w:r w:rsidR="007A15CB">
        <w:rPr>
          <w:rFonts w:ascii="Times New Roman" w:hAnsi="Times New Roman" w:cs="Times New Roman"/>
          <w:sz w:val="24"/>
          <w:lang w:val="it-IT"/>
        </w:rPr>
        <w:t>oltre</w:t>
      </w:r>
      <w:r w:rsidR="00E224EF">
        <w:rPr>
          <w:rFonts w:ascii="Times New Roman" w:hAnsi="Times New Roman" w:cs="Times New Roman"/>
          <w:sz w:val="24"/>
          <w:lang w:val="it-IT"/>
        </w:rPr>
        <w:t xml:space="preserve"> 2,5 milioni di </w:t>
      </w:r>
      <w:r w:rsidR="00BB07CA" w:rsidRPr="00E44CA8">
        <w:rPr>
          <w:rFonts w:ascii="Times New Roman" w:hAnsi="Times New Roman" w:cs="Times New Roman"/>
          <w:sz w:val="24"/>
          <w:lang w:val="it-IT"/>
        </w:rPr>
        <w:t>mq</w:t>
      </w:r>
      <w:r w:rsidR="00E224EF">
        <w:rPr>
          <w:rFonts w:ascii="Times New Roman" w:hAnsi="Times New Roman" w:cs="Times New Roman"/>
          <w:sz w:val="24"/>
          <w:lang w:val="it-IT"/>
        </w:rPr>
        <w:t>.</w:t>
      </w:r>
    </w:p>
    <w:p w:rsidR="003F2349" w:rsidRPr="00E44CA8" w:rsidRDefault="003F2349" w:rsidP="00BB07CA">
      <w:pPr>
        <w:jc w:val="both"/>
        <w:rPr>
          <w:rFonts w:ascii="Times New Roman" w:hAnsi="Times New Roman" w:cs="Times New Roman"/>
          <w:sz w:val="24"/>
          <w:lang w:val="it-IT"/>
        </w:rPr>
      </w:pPr>
    </w:p>
    <w:p w:rsidR="00657AD2" w:rsidRDefault="007A15CB" w:rsidP="007A15CB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46A07F8" wp14:editId="5CCB7FF0">
            <wp:extent cx="4200525" cy="3336577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508" cy="335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619B" w:rsidRDefault="0069619B" w:rsidP="002A4A2E">
      <w:pPr>
        <w:spacing w:after="120"/>
        <w:rPr>
          <w:rFonts w:ascii="Times New Roman" w:hAnsi="Times New Roman" w:cs="Times New Roman"/>
          <w:b/>
          <w:sz w:val="24"/>
          <w:lang w:val="it-IT"/>
        </w:rPr>
      </w:pPr>
    </w:p>
    <w:p w:rsidR="00D3410E" w:rsidRDefault="006C10F4" w:rsidP="002A4A2E">
      <w:pPr>
        <w:spacing w:after="120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La storia dei </w:t>
      </w:r>
      <w:r w:rsidR="00777D14">
        <w:rPr>
          <w:rFonts w:ascii="Times New Roman" w:hAnsi="Times New Roman" w:cs="Times New Roman"/>
          <w:b/>
          <w:sz w:val="24"/>
          <w:lang w:val="it-IT"/>
        </w:rPr>
        <w:t>provider</w:t>
      </w:r>
      <w:r w:rsidR="00D6135C" w:rsidRPr="00D6135C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="00777D14">
        <w:rPr>
          <w:rFonts w:ascii="Times New Roman" w:hAnsi="Times New Roman" w:cs="Times New Roman"/>
          <w:b/>
          <w:sz w:val="24"/>
          <w:lang w:val="it-IT"/>
        </w:rPr>
        <w:t xml:space="preserve">logistici </w:t>
      </w:r>
      <w:r w:rsidR="00276387">
        <w:rPr>
          <w:rFonts w:ascii="Times New Roman" w:hAnsi="Times New Roman" w:cs="Times New Roman"/>
          <w:b/>
          <w:sz w:val="24"/>
          <w:lang w:val="it-IT"/>
        </w:rPr>
        <w:t>ins</w:t>
      </w:r>
      <w:r w:rsidR="00727475">
        <w:rPr>
          <w:rFonts w:ascii="Times New Roman" w:hAnsi="Times New Roman" w:cs="Times New Roman"/>
          <w:b/>
          <w:sz w:val="24"/>
          <w:lang w:val="it-IT"/>
        </w:rPr>
        <w:t xml:space="preserve">ediati </w:t>
      </w:r>
      <w:r>
        <w:rPr>
          <w:rFonts w:ascii="Times New Roman" w:hAnsi="Times New Roman" w:cs="Times New Roman"/>
          <w:b/>
          <w:sz w:val="24"/>
          <w:lang w:val="it-IT"/>
        </w:rPr>
        <w:t xml:space="preserve">a Le </w:t>
      </w:r>
      <w:proofErr w:type="gramStart"/>
      <w:r>
        <w:rPr>
          <w:rFonts w:ascii="Times New Roman" w:hAnsi="Times New Roman" w:cs="Times New Roman"/>
          <w:b/>
          <w:sz w:val="24"/>
          <w:lang w:val="it-IT"/>
        </w:rPr>
        <w:t>Mose</w:t>
      </w:r>
      <w:proofErr w:type="gramEnd"/>
    </w:p>
    <w:p w:rsidR="00777D14" w:rsidRDefault="009E5E06" w:rsidP="00777D14">
      <w:pPr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Nel 1999 IKEA</w:t>
      </w:r>
      <w:r w:rsidR="006C10F4" w:rsidRPr="006C10F4">
        <w:rPr>
          <w:rFonts w:ascii="Times New Roman" w:hAnsi="Times New Roman" w:cs="Times New Roman"/>
          <w:sz w:val="24"/>
          <w:lang w:val="it-IT"/>
        </w:rPr>
        <w:t xml:space="preserve"> ha realizzato il primo insediamento del Polo logistico di Le Mose, denominandolo Deposito </w:t>
      </w:r>
      <w:proofErr w:type="gramStart"/>
      <w:r w:rsidR="006C10F4" w:rsidRPr="006C10F4">
        <w:rPr>
          <w:rFonts w:ascii="Times New Roman" w:hAnsi="Times New Roman" w:cs="Times New Roman"/>
          <w:sz w:val="24"/>
          <w:lang w:val="it-IT"/>
        </w:rPr>
        <w:t>1</w:t>
      </w:r>
      <w:proofErr w:type="gramEnd"/>
      <w:r w:rsidR="006C10F4" w:rsidRPr="006C10F4">
        <w:rPr>
          <w:rFonts w:ascii="Times New Roman" w:hAnsi="Times New Roman" w:cs="Times New Roman"/>
          <w:sz w:val="24"/>
          <w:lang w:val="it-IT"/>
        </w:rPr>
        <w:t xml:space="preserve"> in Strada Caorsana. A seguire</w:t>
      </w:r>
      <w:r w:rsidR="006C10F4">
        <w:rPr>
          <w:rFonts w:ascii="Times New Roman" w:hAnsi="Times New Roman" w:cs="Times New Roman"/>
          <w:sz w:val="24"/>
          <w:lang w:val="it-IT"/>
        </w:rPr>
        <w:t>, agli inizi degli anni 2000,</w:t>
      </w:r>
      <w:r w:rsidR="006C10F4" w:rsidRPr="006C10F4">
        <w:rPr>
          <w:rFonts w:ascii="Times New Roman" w:hAnsi="Times New Roman" w:cs="Times New Roman"/>
          <w:sz w:val="24"/>
          <w:lang w:val="it-IT"/>
        </w:rPr>
        <w:t xml:space="preserve"> si sono sviluppate le proprietà di Piacenza Intermodale e quelle di </w:t>
      </w:r>
      <w:proofErr w:type="spellStart"/>
      <w:r w:rsidR="006C10F4" w:rsidRPr="006C10F4">
        <w:rPr>
          <w:rFonts w:ascii="Times New Roman" w:hAnsi="Times New Roman" w:cs="Times New Roman"/>
          <w:sz w:val="24"/>
          <w:lang w:val="it-IT"/>
        </w:rPr>
        <w:t>Prologis</w:t>
      </w:r>
      <w:proofErr w:type="spellEnd"/>
      <w:r w:rsidR="006C10F4" w:rsidRPr="006C10F4">
        <w:rPr>
          <w:rFonts w:ascii="Times New Roman" w:hAnsi="Times New Roman" w:cs="Times New Roman"/>
          <w:sz w:val="24"/>
          <w:lang w:val="it-IT"/>
        </w:rPr>
        <w:t xml:space="preserve">. </w:t>
      </w:r>
      <w:r w:rsidR="006C10F4">
        <w:rPr>
          <w:rFonts w:ascii="Times New Roman" w:hAnsi="Times New Roman" w:cs="Times New Roman"/>
          <w:sz w:val="24"/>
          <w:lang w:val="it-IT"/>
        </w:rPr>
        <w:t xml:space="preserve">Indicativamente dal 2005 anche Generali </w:t>
      </w:r>
      <w:proofErr w:type="spellStart"/>
      <w:r w:rsidR="006C10F4">
        <w:rPr>
          <w:rFonts w:ascii="Times New Roman" w:hAnsi="Times New Roman" w:cs="Times New Roman"/>
          <w:sz w:val="24"/>
          <w:lang w:val="it-IT"/>
        </w:rPr>
        <w:t>Properties</w:t>
      </w:r>
      <w:proofErr w:type="spellEnd"/>
      <w:r w:rsidR="006C10F4">
        <w:rPr>
          <w:rFonts w:ascii="Times New Roman" w:hAnsi="Times New Roman" w:cs="Times New Roman"/>
          <w:sz w:val="24"/>
          <w:lang w:val="it-IT"/>
        </w:rPr>
        <w:t xml:space="preserve"> </w:t>
      </w:r>
      <w:proofErr w:type="gramStart"/>
      <w:r w:rsidR="006C10F4">
        <w:rPr>
          <w:rFonts w:ascii="Times New Roman" w:hAnsi="Times New Roman" w:cs="Times New Roman"/>
          <w:sz w:val="24"/>
          <w:lang w:val="it-IT"/>
        </w:rPr>
        <w:t>ha</w:t>
      </w:r>
      <w:proofErr w:type="gramEnd"/>
      <w:r w:rsidR="006C10F4">
        <w:rPr>
          <w:rFonts w:ascii="Times New Roman" w:hAnsi="Times New Roman" w:cs="Times New Roman"/>
          <w:sz w:val="24"/>
          <w:lang w:val="it-IT"/>
        </w:rPr>
        <w:t xml:space="preserve"> realizzato i suoi primi insediamenti. </w:t>
      </w:r>
      <w:r w:rsidR="00777D14">
        <w:rPr>
          <w:rFonts w:ascii="Times New Roman" w:hAnsi="Times New Roman" w:cs="Times New Roman"/>
          <w:sz w:val="24"/>
          <w:lang w:val="it-IT"/>
        </w:rPr>
        <w:t xml:space="preserve">Gli operatori insediati sono complessivamente </w:t>
      </w:r>
      <w:proofErr w:type="gramStart"/>
      <w:r w:rsidR="00777D14">
        <w:rPr>
          <w:rFonts w:ascii="Times New Roman" w:hAnsi="Times New Roman" w:cs="Times New Roman"/>
          <w:sz w:val="24"/>
          <w:lang w:val="it-IT"/>
        </w:rPr>
        <w:t>14</w:t>
      </w:r>
      <w:proofErr w:type="gramEnd"/>
      <w:r w:rsidR="00777D14">
        <w:rPr>
          <w:rFonts w:ascii="Times New Roman" w:hAnsi="Times New Roman" w:cs="Times New Roman"/>
          <w:sz w:val="24"/>
          <w:lang w:val="it-IT"/>
        </w:rPr>
        <w:t xml:space="preserve">, occupano 17 depositi </w:t>
      </w:r>
      <w:r w:rsidR="00EA5A40">
        <w:rPr>
          <w:rFonts w:ascii="Times New Roman" w:hAnsi="Times New Roman" w:cs="Times New Roman"/>
          <w:sz w:val="24"/>
          <w:lang w:val="it-IT"/>
        </w:rPr>
        <w:t>dato che</w:t>
      </w:r>
      <w:r w:rsidR="00777D14">
        <w:rPr>
          <w:rFonts w:ascii="Times New Roman" w:hAnsi="Times New Roman" w:cs="Times New Roman"/>
          <w:sz w:val="24"/>
          <w:lang w:val="it-IT"/>
        </w:rPr>
        <w:t xml:space="preserve"> tre di loro </w:t>
      </w:r>
      <w:r w:rsidR="00EA5A40">
        <w:rPr>
          <w:rFonts w:ascii="Times New Roman" w:hAnsi="Times New Roman" w:cs="Times New Roman"/>
          <w:sz w:val="24"/>
          <w:lang w:val="it-IT"/>
        </w:rPr>
        <w:t xml:space="preserve">(DHL, IKEA, Torello Trasporti) </w:t>
      </w:r>
      <w:r w:rsidR="00777D14">
        <w:rPr>
          <w:rFonts w:ascii="Times New Roman" w:hAnsi="Times New Roman" w:cs="Times New Roman"/>
          <w:sz w:val="24"/>
          <w:lang w:val="it-IT"/>
        </w:rPr>
        <w:t>hanno un doppio insediamento a Le Mose.</w:t>
      </w:r>
    </w:p>
    <w:p w:rsidR="007A15CB" w:rsidRDefault="007A15CB" w:rsidP="007A15CB">
      <w:pPr>
        <w:jc w:val="center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1A840FA" wp14:editId="6857A435">
            <wp:extent cx="4921857" cy="3562571"/>
            <wp:effectExtent l="0" t="0" r="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68" cy="357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39A6F6ED" wp14:editId="38FE321D">
            <wp:extent cx="3255994" cy="4238045"/>
            <wp:effectExtent l="0" t="0" r="190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41" cy="42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A15CB" w:rsidRDefault="007A15CB" w:rsidP="00777D14">
      <w:pPr>
        <w:rPr>
          <w:rFonts w:ascii="Times New Roman" w:hAnsi="Times New Roman" w:cs="Times New Roman"/>
          <w:sz w:val="24"/>
          <w:lang w:val="it-IT"/>
        </w:rPr>
      </w:pPr>
    </w:p>
    <w:p w:rsidR="0069619B" w:rsidRDefault="0069619B" w:rsidP="008A5A9B">
      <w:pPr>
        <w:jc w:val="both"/>
        <w:rPr>
          <w:rFonts w:ascii="Times New Roman" w:hAnsi="Times New Roman" w:cs="Times New Roman"/>
          <w:sz w:val="24"/>
          <w:lang w:val="it-IT"/>
        </w:rPr>
      </w:pPr>
    </w:p>
    <w:p w:rsidR="00D3410E" w:rsidRDefault="00D3410E" w:rsidP="008A5A9B">
      <w:pPr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Il deposito di </w:t>
      </w:r>
      <w:proofErr w:type="spellStart"/>
      <w:r>
        <w:rPr>
          <w:rFonts w:ascii="Times New Roman" w:hAnsi="Times New Roman" w:cs="Times New Roman"/>
          <w:sz w:val="24"/>
          <w:lang w:val="it-IT"/>
        </w:rPr>
        <w:t>Unieuro</w:t>
      </w:r>
      <w:proofErr w:type="spellEnd"/>
      <w:r>
        <w:rPr>
          <w:rFonts w:ascii="Times New Roman" w:hAnsi="Times New Roman" w:cs="Times New Roman"/>
          <w:sz w:val="24"/>
          <w:lang w:val="it-IT"/>
        </w:rPr>
        <w:t xml:space="preserve"> è operativo a Piacenza dal 2004</w:t>
      </w:r>
      <w:r w:rsidR="00EA5A40">
        <w:rPr>
          <w:rFonts w:ascii="Times New Roman" w:hAnsi="Times New Roman" w:cs="Times New Roman"/>
          <w:sz w:val="24"/>
          <w:lang w:val="it-IT"/>
        </w:rPr>
        <w:t>. N</w:t>
      </w:r>
      <w:r>
        <w:rPr>
          <w:rFonts w:ascii="Times New Roman" w:hAnsi="Times New Roman" w:cs="Times New Roman"/>
          <w:sz w:val="24"/>
          <w:lang w:val="it-IT"/>
        </w:rPr>
        <w:t xml:space="preserve">el 2013 </w:t>
      </w:r>
      <w:r w:rsidR="00EA5A40">
        <w:rPr>
          <w:rFonts w:ascii="Times New Roman" w:hAnsi="Times New Roman" w:cs="Times New Roman"/>
          <w:sz w:val="24"/>
          <w:lang w:val="it-IT"/>
        </w:rPr>
        <w:t xml:space="preserve">SGM Distribuzione ha acquisito </w:t>
      </w:r>
      <w:proofErr w:type="spellStart"/>
      <w:r>
        <w:rPr>
          <w:rFonts w:ascii="Times New Roman" w:hAnsi="Times New Roman" w:cs="Times New Roman"/>
          <w:sz w:val="24"/>
          <w:lang w:val="it-IT"/>
        </w:rPr>
        <w:t>Unieuro</w:t>
      </w:r>
      <w:proofErr w:type="spellEnd"/>
      <w:r w:rsidR="00EA5A40">
        <w:rPr>
          <w:rFonts w:ascii="Times New Roman" w:hAnsi="Times New Roman" w:cs="Times New Roman"/>
          <w:sz w:val="24"/>
          <w:lang w:val="it-IT"/>
        </w:rPr>
        <w:t>. D</w:t>
      </w:r>
      <w:r>
        <w:rPr>
          <w:rFonts w:ascii="Times New Roman" w:hAnsi="Times New Roman" w:cs="Times New Roman"/>
          <w:sz w:val="24"/>
          <w:lang w:val="it-IT"/>
        </w:rPr>
        <w:t>al 2014 le attività logistiche di SGM, prima concentrate a Forlì, sono state trasferite a Piacenza</w:t>
      </w:r>
      <w:r w:rsidR="00C477A3">
        <w:rPr>
          <w:rFonts w:ascii="Times New Roman" w:hAnsi="Times New Roman" w:cs="Times New Roman"/>
          <w:sz w:val="24"/>
          <w:lang w:val="it-IT"/>
        </w:rPr>
        <w:t>.</w:t>
      </w:r>
    </w:p>
    <w:p w:rsidR="00777D14" w:rsidRDefault="00777D14">
      <w:pPr>
        <w:rPr>
          <w:rFonts w:ascii="Times New Roman" w:hAnsi="Times New Roman" w:cs="Times New Roman"/>
          <w:sz w:val="24"/>
          <w:lang w:val="it-IT"/>
        </w:rPr>
      </w:pPr>
    </w:p>
    <w:p w:rsidR="0069619B" w:rsidRDefault="0069619B">
      <w:pPr>
        <w:rPr>
          <w:rFonts w:ascii="Times New Roman" w:hAnsi="Times New Roman" w:cs="Times New Roman"/>
          <w:sz w:val="24"/>
          <w:lang w:val="it-IT"/>
        </w:rPr>
      </w:pPr>
    </w:p>
    <w:p w:rsidR="0069619B" w:rsidRDefault="0069619B">
      <w:pPr>
        <w:rPr>
          <w:rFonts w:ascii="Times New Roman" w:hAnsi="Times New Roman" w:cs="Times New Roman"/>
          <w:sz w:val="24"/>
          <w:lang w:val="it-IT"/>
        </w:rPr>
      </w:pPr>
    </w:p>
    <w:p w:rsidR="00BC725E" w:rsidRPr="00EA5A40" w:rsidRDefault="005D1CDE" w:rsidP="00EA5A4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5A40">
        <w:rPr>
          <w:rFonts w:ascii="Times New Roman" w:hAnsi="Times New Roman" w:cs="Times New Roman"/>
          <w:b/>
          <w:sz w:val="24"/>
          <w:szCs w:val="24"/>
          <w:lang w:val="it-IT"/>
        </w:rPr>
        <w:t>Le diverse tipologie di attività svolte</w:t>
      </w:r>
      <w:r w:rsidR="00BC725E" w:rsidRPr="00EA5A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presso </w:t>
      </w:r>
      <w:r w:rsidR="00777D14" w:rsidRPr="00EA5A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le piattaforme </w:t>
      </w:r>
      <w:proofErr w:type="gramStart"/>
      <w:r w:rsidR="00777D14" w:rsidRPr="00EA5A40">
        <w:rPr>
          <w:rFonts w:ascii="Times New Roman" w:hAnsi="Times New Roman" w:cs="Times New Roman"/>
          <w:b/>
          <w:sz w:val="24"/>
          <w:szCs w:val="24"/>
          <w:lang w:val="it-IT"/>
        </w:rPr>
        <w:t>logistiche</w:t>
      </w:r>
      <w:proofErr w:type="gramEnd"/>
    </w:p>
    <w:p w:rsidR="00581836" w:rsidRDefault="00495C11" w:rsidP="005D1C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Circa nel</w:t>
      </w:r>
      <w:r w:rsidR="00581836">
        <w:rPr>
          <w:rFonts w:ascii="Times New Roman" w:hAnsi="Times New Roman" w:cs="Times New Roman"/>
          <w:sz w:val="24"/>
          <w:szCs w:val="24"/>
          <w:lang w:val="it-IT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dei depositi, </w:t>
      </w:r>
      <w:r w:rsidR="00581836">
        <w:rPr>
          <w:rFonts w:ascii="Times New Roman" w:hAnsi="Times New Roman" w:cs="Times New Roman"/>
          <w:sz w:val="24"/>
          <w:szCs w:val="24"/>
          <w:lang w:val="it-IT"/>
        </w:rPr>
        <w:t xml:space="preserve">gli operatori svolgono attività di logistica </w:t>
      </w:r>
      <w:proofErr w:type="gramStart"/>
      <w:r w:rsidR="005D1CDE" w:rsidRPr="002F3E48">
        <w:rPr>
          <w:rFonts w:ascii="Times New Roman" w:hAnsi="Times New Roman" w:cs="Times New Roman"/>
          <w:sz w:val="24"/>
          <w:szCs w:val="24"/>
          <w:lang w:val="it-IT"/>
        </w:rPr>
        <w:t>conto terzi</w:t>
      </w:r>
      <w:proofErr w:type="gramEnd"/>
      <w:r w:rsidR="00581836">
        <w:rPr>
          <w:rFonts w:ascii="Times New Roman" w:hAnsi="Times New Roman" w:cs="Times New Roman"/>
          <w:sz w:val="24"/>
          <w:szCs w:val="24"/>
          <w:lang w:val="it-IT"/>
        </w:rPr>
        <w:t xml:space="preserve">. Significa che i provider </w:t>
      </w:r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gestiscono la merce di proprietà di terzi, </w:t>
      </w:r>
      <w:proofErr w:type="gramStart"/>
      <w:r w:rsidR="007D73E6">
        <w:rPr>
          <w:rFonts w:ascii="Times New Roman" w:hAnsi="Times New Roman" w:cs="Times New Roman"/>
          <w:sz w:val="24"/>
          <w:szCs w:val="24"/>
          <w:lang w:val="it-IT"/>
        </w:rPr>
        <w:t>a cui</w:t>
      </w:r>
      <w:proofErr w:type="gramEnd"/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81836">
        <w:rPr>
          <w:rFonts w:ascii="Times New Roman" w:hAnsi="Times New Roman" w:cs="Times New Roman"/>
          <w:sz w:val="24"/>
          <w:szCs w:val="24"/>
          <w:lang w:val="it-IT"/>
        </w:rPr>
        <w:t>forniscono servizi logistici di varia natura</w:t>
      </w:r>
      <w:r w:rsidR="007D73E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F6432" w:rsidRDefault="005D1CDE" w:rsidP="005D1C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3E48">
        <w:rPr>
          <w:rFonts w:ascii="Times New Roman" w:hAnsi="Times New Roman" w:cs="Times New Roman"/>
          <w:sz w:val="24"/>
          <w:szCs w:val="24"/>
          <w:lang w:val="it-IT"/>
        </w:rPr>
        <w:t>Solo nei magazzini di I</w:t>
      </w:r>
      <w:r w:rsidR="009E5E06">
        <w:rPr>
          <w:rFonts w:ascii="Times New Roman" w:hAnsi="Times New Roman" w:cs="Times New Roman"/>
          <w:sz w:val="24"/>
          <w:szCs w:val="24"/>
          <w:lang w:val="it-IT"/>
        </w:rPr>
        <w:t>KEA</w:t>
      </w:r>
      <w:r w:rsidRPr="002F3E48">
        <w:rPr>
          <w:rFonts w:ascii="Times New Roman" w:hAnsi="Times New Roman" w:cs="Times New Roman"/>
          <w:sz w:val="24"/>
          <w:szCs w:val="24"/>
          <w:lang w:val="it-IT"/>
        </w:rPr>
        <w:t xml:space="preserve"> Italia Distribution e SGM Distribuzione si fa logistica in conto proprio, sviluppan</w:t>
      </w:r>
      <w:r w:rsidR="00AF6432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F3E48">
        <w:rPr>
          <w:rFonts w:ascii="Times New Roman" w:hAnsi="Times New Roman" w:cs="Times New Roman"/>
          <w:sz w:val="24"/>
          <w:szCs w:val="24"/>
          <w:lang w:val="it-IT"/>
        </w:rPr>
        <w:t xml:space="preserve">o servizi per </w:t>
      </w:r>
      <w:r w:rsidR="00AF6432">
        <w:rPr>
          <w:rFonts w:ascii="Times New Roman" w:hAnsi="Times New Roman" w:cs="Times New Roman"/>
          <w:sz w:val="24"/>
          <w:szCs w:val="24"/>
          <w:lang w:val="it-IT"/>
        </w:rPr>
        <w:t xml:space="preserve">il gruppo o la </w:t>
      </w:r>
      <w:r w:rsidRPr="002F3E48">
        <w:rPr>
          <w:rFonts w:ascii="Times New Roman" w:hAnsi="Times New Roman" w:cs="Times New Roman"/>
          <w:sz w:val="24"/>
          <w:szCs w:val="24"/>
          <w:lang w:val="it-IT"/>
        </w:rPr>
        <w:t>società di appartenenza.</w:t>
      </w:r>
    </w:p>
    <w:p w:rsidR="005D1CDE" w:rsidRDefault="005D1CDE" w:rsidP="005D1C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2F3E48">
        <w:rPr>
          <w:rFonts w:ascii="Times New Roman" w:hAnsi="Times New Roman" w:cs="Times New Roman"/>
          <w:sz w:val="24"/>
          <w:szCs w:val="24"/>
          <w:lang w:val="it-IT"/>
        </w:rPr>
        <w:t>Blumen</w:t>
      </w:r>
      <w:proofErr w:type="spellEnd"/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, che produce e commercializza sementi, è </w:t>
      </w:r>
      <w:r w:rsidRPr="002F3E48">
        <w:rPr>
          <w:rFonts w:ascii="Times New Roman" w:hAnsi="Times New Roman" w:cs="Times New Roman"/>
          <w:i/>
          <w:sz w:val="24"/>
          <w:szCs w:val="24"/>
          <w:lang w:val="it-IT"/>
        </w:rPr>
        <w:t>in primis</w:t>
      </w:r>
      <w:r w:rsidRPr="002F3E48">
        <w:rPr>
          <w:rFonts w:ascii="Times New Roman" w:hAnsi="Times New Roman" w:cs="Times New Roman"/>
          <w:sz w:val="24"/>
          <w:szCs w:val="24"/>
          <w:lang w:val="it-IT"/>
        </w:rPr>
        <w:t xml:space="preserve"> un’azienda di produzione, </w:t>
      </w:r>
      <w:r w:rsidR="007D73E6">
        <w:rPr>
          <w:rFonts w:ascii="Times New Roman" w:hAnsi="Times New Roman" w:cs="Times New Roman"/>
          <w:sz w:val="24"/>
          <w:szCs w:val="24"/>
          <w:lang w:val="it-IT"/>
        </w:rPr>
        <w:t>che al proprio interno gestisce anche</w:t>
      </w:r>
      <w:r w:rsidRPr="002F3E48">
        <w:rPr>
          <w:rFonts w:ascii="Times New Roman" w:hAnsi="Times New Roman" w:cs="Times New Roman"/>
          <w:sz w:val="24"/>
          <w:szCs w:val="24"/>
          <w:lang w:val="it-IT"/>
        </w:rPr>
        <w:t xml:space="preserve"> un magazzino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Il Terminal Piacenza Intermodale,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in quanto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terminal ferroviario, rientra nella categoria</w:t>
      </w:r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 degli operatori di trasporto multimodale 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MTO</w:t>
      </w:r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7D73E6">
        <w:rPr>
          <w:rFonts w:ascii="Times New Roman" w:hAnsi="Times New Roman" w:cs="Times New Roman"/>
          <w:sz w:val="24"/>
          <w:szCs w:val="24"/>
          <w:lang w:val="it-IT"/>
        </w:rPr>
        <w:t>Multimodal</w:t>
      </w:r>
      <w:proofErr w:type="spellEnd"/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D73E6">
        <w:rPr>
          <w:rFonts w:ascii="Times New Roman" w:hAnsi="Times New Roman" w:cs="Times New Roman"/>
          <w:sz w:val="24"/>
          <w:szCs w:val="24"/>
          <w:lang w:val="it-IT"/>
        </w:rPr>
        <w:t>Transport</w:t>
      </w:r>
      <w:proofErr w:type="spellEnd"/>
      <w:r w:rsidR="007D73E6">
        <w:rPr>
          <w:rFonts w:ascii="Times New Roman" w:hAnsi="Times New Roman" w:cs="Times New Roman"/>
          <w:sz w:val="24"/>
          <w:szCs w:val="24"/>
          <w:lang w:val="it-IT"/>
        </w:rPr>
        <w:t xml:space="preserve"> Operator)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D1CDE" w:rsidRPr="002F3E48" w:rsidRDefault="00F06D1B" w:rsidP="005D1CD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Nel Polo </w:t>
      </w:r>
      <w:r w:rsidR="00B0053B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Le Mose non sono insediati </w:t>
      </w:r>
      <w:r w:rsidR="005613E7">
        <w:rPr>
          <w:rFonts w:ascii="Times New Roman" w:hAnsi="Times New Roman" w:cs="Times New Roman"/>
          <w:sz w:val="24"/>
          <w:szCs w:val="24"/>
          <w:lang w:val="it-IT"/>
        </w:rPr>
        <w:t xml:space="preserve">né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corrieri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espress</w:t>
      </w:r>
      <w:r w:rsidR="00B0053B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5613E7">
        <w:rPr>
          <w:rFonts w:ascii="Times New Roman" w:hAnsi="Times New Roman" w:cs="Times New Roman"/>
          <w:sz w:val="24"/>
          <w:szCs w:val="24"/>
          <w:lang w:val="it-IT"/>
        </w:rPr>
        <w:t xml:space="preserve"> né aziende</w:t>
      </w:r>
      <w:proofErr w:type="gramEnd"/>
      <w:r w:rsidR="005613E7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 w:rsidR="00F0635C">
        <w:rPr>
          <w:rFonts w:ascii="Times New Roman" w:hAnsi="Times New Roman" w:cs="Times New Roman"/>
          <w:sz w:val="24"/>
          <w:szCs w:val="24"/>
          <w:lang w:val="it-IT"/>
        </w:rPr>
        <w:t xml:space="preserve">solo </w:t>
      </w:r>
      <w:r w:rsidR="005613E7">
        <w:rPr>
          <w:rFonts w:ascii="Times New Roman" w:hAnsi="Times New Roman" w:cs="Times New Roman"/>
          <w:sz w:val="24"/>
          <w:szCs w:val="24"/>
          <w:lang w:val="it-IT"/>
        </w:rPr>
        <w:t>autotrasporto</w:t>
      </w:r>
      <w:r>
        <w:rPr>
          <w:rFonts w:ascii="Times New Roman" w:hAnsi="Times New Roman" w:cs="Times New Roman"/>
          <w:sz w:val="24"/>
          <w:szCs w:val="24"/>
          <w:lang w:val="it-IT"/>
        </w:rPr>
        <w:t>, presenti nel territorio comunale di Piacenz</w:t>
      </w:r>
      <w:r w:rsidR="00B0053B">
        <w:rPr>
          <w:rFonts w:ascii="Times New Roman" w:hAnsi="Times New Roman" w:cs="Times New Roman"/>
          <w:sz w:val="24"/>
          <w:szCs w:val="24"/>
          <w:lang w:val="it-IT"/>
        </w:rPr>
        <w:t>a ma in altre zone industriali.</w:t>
      </w:r>
    </w:p>
    <w:p w:rsidR="00BC725E" w:rsidRDefault="00BC725E" w:rsidP="004769D0">
      <w:pPr>
        <w:rPr>
          <w:rFonts w:ascii="Times New Roman" w:hAnsi="Times New Roman" w:cs="Times New Roman"/>
          <w:sz w:val="24"/>
          <w:lang w:val="it-IT"/>
        </w:rPr>
      </w:pPr>
    </w:p>
    <w:p w:rsidR="00190092" w:rsidRDefault="00190092" w:rsidP="00393F1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93F1E" w:rsidRPr="00C47BBC">
        <w:rPr>
          <w:rFonts w:ascii="Times New Roman" w:hAnsi="Times New Roman" w:cs="Times New Roman"/>
          <w:sz w:val="24"/>
          <w:szCs w:val="24"/>
          <w:lang w:val="it-IT"/>
        </w:rPr>
        <w:t>l 65% de</w:t>
      </w:r>
      <w:r>
        <w:rPr>
          <w:rFonts w:ascii="Times New Roman" w:hAnsi="Times New Roman" w:cs="Times New Roman"/>
          <w:sz w:val="24"/>
          <w:szCs w:val="24"/>
          <w:lang w:val="it-IT"/>
        </w:rPr>
        <w:t>gl</w:t>
      </w:r>
      <w:r w:rsidR="00393F1E" w:rsidRPr="00C47BBC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>operator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 xml:space="preserve"> logistic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 xml:space="preserve"> insediat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 xml:space="preserve"> a Le Mose considera il proprio deposito di Le Mose come “</w:t>
      </w:r>
      <w:proofErr w:type="gramStart"/>
      <w:r w:rsidR="00A52BF9">
        <w:rPr>
          <w:rFonts w:ascii="Times New Roman" w:hAnsi="Times New Roman" w:cs="Times New Roman"/>
          <w:sz w:val="24"/>
          <w:szCs w:val="24"/>
          <w:lang w:val="it-IT"/>
        </w:rPr>
        <w:t>deposito</w:t>
      </w:r>
      <w:proofErr w:type="gramEnd"/>
      <w:r w:rsidR="00A52BF9">
        <w:rPr>
          <w:rFonts w:ascii="Times New Roman" w:hAnsi="Times New Roman" w:cs="Times New Roman"/>
          <w:sz w:val="24"/>
          <w:szCs w:val="24"/>
          <w:lang w:val="it-IT"/>
        </w:rPr>
        <w:t xml:space="preserve"> periferico”, rispetto all’intera rete </w:t>
      </w:r>
      <w:r w:rsidR="00393F1E" w:rsidRPr="00C47BBC">
        <w:rPr>
          <w:rFonts w:ascii="Times New Roman" w:hAnsi="Times New Roman" w:cs="Times New Roman"/>
          <w:sz w:val="24"/>
          <w:szCs w:val="24"/>
          <w:lang w:val="it-IT"/>
        </w:rPr>
        <w:t>di depositi</w:t>
      </w:r>
      <w:r w:rsidR="00393F1E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393F1E">
        <w:rPr>
          <w:rFonts w:ascii="Times New Roman" w:hAnsi="Times New Roman" w:cs="Times New Roman"/>
          <w:sz w:val="24"/>
          <w:szCs w:val="24"/>
          <w:lang w:val="it-IT"/>
        </w:rPr>
        <w:t>transit</w:t>
      </w:r>
      <w:proofErr w:type="spellEnd"/>
      <w:r w:rsidR="00393F1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93F1E">
        <w:rPr>
          <w:rFonts w:ascii="Times New Roman" w:hAnsi="Times New Roman" w:cs="Times New Roman"/>
          <w:sz w:val="24"/>
          <w:szCs w:val="24"/>
          <w:lang w:val="it-IT"/>
        </w:rPr>
        <w:t>point</w:t>
      </w:r>
      <w:proofErr w:type="spellEnd"/>
      <w:r w:rsidR="00393F1E" w:rsidRPr="00C47BBC">
        <w:rPr>
          <w:rFonts w:ascii="Times New Roman" w:hAnsi="Times New Roman" w:cs="Times New Roman"/>
          <w:sz w:val="24"/>
          <w:szCs w:val="24"/>
          <w:lang w:val="it-IT"/>
        </w:rPr>
        <w:t xml:space="preserve"> che spesso l’operatore 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>gestisce</w:t>
      </w:r>
      <w:r w:rsidR="00393F1E" w:rsidRPr="00C47BBC">
        <w:rPr>
          <w:rFonts w:ascii="Times New Roman" w:hAnsi="Times New Roman" w:cs="Times New Roman"/>
          <w:sz w:val="24"/>
          <w:szCs w:val="24"/>
          <w:lang w:val="it-IT"/>
        </w:rPr>
        <w:t xml:space="preserve"> in Italia e in Europ</w:t>
      </w:r>
      <w:r w:rsidR="00393F1E">
        <w:rPr>
          <w:rFonts w:ascii="Times New Roman" w:hAnsi="Times New Roman" w:cs="Times New Roman"/>
          <w:sz w:val="24"/>
          <w:szCs w:val="24"/>
          <w:lang w:val="it-IT"/>
        </w:rPr>
        <w:t xml:space="preserve">a. </w:t>
      </w:r>
    </w:p>
    <w:p w:rsidR="00393F1E" w:rsidRDefault="00190092" w:rsidP="00393F1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Spostando l’attenzione sulla domanda dei servizi, nella 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>maggior parte dei casi il cliente dell’operatore logistico di Le Mose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considera 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 xml:space="preserve">il deposito di Piacenza </w:t>
      </w:r>
      <w:r>
        <w:rPr>
          <w:rFonts w:ascii="Times New Roman" w:hAnsi="Times New Roman" w:cs="Times New Roman"/>
          <w:sz w:val="24"/>
          <w:szCs w:val="24"/>
          <w:lang w:val="it-IT"/>
        </w:rPr>
        <w:t>come</w:t>
      </w:r>
      <w:r w:rsidR="00A52BF9">
        <w:rPr>
          <w:rFonts w:ascii="Times New Roman" w:hAnsi="Times New Roman" w:cs="Times New Roman"/>
          <w:sz w:val="24"/>
          <w:szCs w:val="24"/>
          <w:lang w:val="it-IT"/>
        </w:rPr>
        <w:t xml:space="preserve"> “deposito centrale”.</w:t>
      </w:r>
    </w:p>
    <w:p w:rsidR="00190092" w:rsidRDefault="00190092" w:rsidP="0019009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D38AD" w:rsidRPr="00ED38AD" w:rsidRDefault="00393F1E" w:rsidP="001F368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I servizi offerti </w:t>
      </w:r>
      <w:r w:rsidR="00F40C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dai provider logistici ai </w:t>
      </w:r>
      <w:proofErr w:type="gramStart"/>
      <w:r w:rsidR="00F40CB9">
        <w:rPr>
          <w:rFonts w:ascii="Times New Roman" w:hAnsi="Times New Roman" w:cs="Times New Roman"/>
          <w:b/>
          <w:sz w:val="24"/>
          <w:szCs w:val="24"/>
          <w:lang w:val="it-IT"/>
        </w:rPr>
        <w:t>clienti</w:t>
      </w:r>
      <w:proofErr w:type="gramEnd"/>
    </w:p>
    <w:p w:rsidR="00F40CB9" w:rsidRDefault="00F40CB9" w:rsidP="00F40CB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4CA8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 xml:space="preserve">tutti i depositi </w:t>
      </w:r>
      <w:r>
        <w:rPr>
          <w:rFonts w:ascii="Times New Roman" w:hAnsi="Times New Roman" w:cs="Times New Roman"/>
          <w:sz w:val="24"/>
          <w:szCs w:val="24"/>
          <w:lang w:val="it-IT"/>
        </w:rPr>
        <w:t>di Le Mose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unico escluso il Terminal Piacenza Intermodale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 provider insediati, compresi gli operatori della categoria gestione documentale, sviluppano la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gestione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dello stock su incarico di </w:t>
      </w:r>
      <w:r w:rsidR="002345B8">
        <w:rPr>
          <w:rFonts w:ascii="Times New Roman" w:hAnsi="Times New Roman" w:cs="Times New Roman"/>
          <w:sz w:val="24"/>
          <w:szCs w:val="24"/>
          <w:lang w:val="it-IT"/>
        </w:rPr>
        <w:t>numerosi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clienti. 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>In diversi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depositi</w:t>
      </w:r>
      <w:r w:rsidR="00234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Le Mose, i provider organizzano per i loro clienti anche il trasporto. 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 xml:space="preserve">In certi casi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vengono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74A22">
        <w:rPr>
          <w:rFonts w:ascii="Times New Roman" w:hAnsi="Times New Roman" w:cs="Times New Roman"/>
          <w:sz w:val="24"/>
          <w:szCs w:val="24"/>
          <w:lang w:val="it-IT"/>
        </w:rPr>
        <w:t>offerti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servizi a valore aggiunto, su richiesta del cliente finale, 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 xml:space="preserve">quali </w:t>
      </w:r>
      <w:r w:rsidR="001108ED" w:rsidRPr="001108ED">
        <w:rPr>
          <w:rFonts w:ascii="Times New Roman" w:hAnsi="Times New Roman" w:cs="Times New Roman"/>
          <w:sz w:val="24"/>
          <w:szCs w:val="24"/>
          <w:lang w:val="it-IT"/>
        </w:rPr>
        <w:t>etichettature, composizione kit di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 xml:space="preserve"> vendita, controllo qualità, </w:t>
      </w:r>
      <w:r w:rsidR="001108ED" w:rsidRPr="001108ED">
        <w:rPr>
          <w:rFonts w:ascii="Times New Roman" w:hAnsi="Times New Roman" w:cs="Times New Roman"/>
          <w:sz w:val="24"/>
          <w:szCs w:val="24"/>
          <w:lang w:val="it-IT"/>
        </w:rPr>
        <w:t>imbustamento capi, gestione resi, applicazione RFID</w:t>
      </w:r>
      <w:r w:rsidR="001108E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D38AD" w:rsidRDefault="00ED38AD" w:rsidP="00C47BB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22C01" w:rsidRDefault="0051338E" w:rsidP="00C23C4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merce in entrata: provenienza </w:t>
      </w:r>
      <w:r w:rsidR="00217A05">
        <w:rPr>
          <w:rFonts w:ascii="Times New Roman" w:hAnsi="Times New Roman" w:cs="Times New Roman"/>
          <w:b/>
          <w:sz w:val="24"/>
          <w:szCs w:val="24"/>
          <w:lang w:val="it-IT"/>
        </w:rPr>
        <w:t>e quantitativi</w:t>
      </w:r>
    </w:p>
    <w:p w:rsidR="00C23C4C" w:rsidRDefault="0051338E" w:rsidP="0051338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1F16">
        <w:rPr>
          <w:rFonts w:ascii="Times New Roman" w:hAnsi="Times New Roman" w:cs="Times New Roman"/>
          <w:sz w:val="24"/>
          <w:szCs w:val="24"/>
          <w:lang w:val="it-IT"/>
        </w:rPr>
        <w:t>Con riferimento all’anno 2015,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3C4C"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la merce in ingresso nel Polo 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C23C4C" w:rsidRPr="00311F16">
        <w:rPr>
          <w:rFonts w:ascii="Times New Roman" w:hAnsi="Times New Roman" w:cs="Times New Roman"/>
          <w:sz w:val="24"/>
          <w:szCs w:val="24"/>
          <w:lang w:val="it-IT"/>
        </w:rPr>
        <w:t>Le Mose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3C4C"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è pari a circa </w:t>
      </w:r>
      <w:proofErr w:type="gramStart"/>
      <w:r w:rsidR="00C23C4C" w:rsidRPr="00311F16">
        <w:rPr>
          <w:rFonts w:ascii="Times New Roman" w:hAnsi="Times New Roman" w:cs="Times New Roman"/>
          <w:sz w:val="24"/>
          <w:szCs w:val="24"/>
          <w:lang w:val="it-IT"/>
        </w:rPr>
        <w:t>2</w:t>
      </w:r>
      <w:proofErr w:type="gramEnd"/>
      <w:r w:rsidR="00C23C4C"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 milioni e 775 mila tonnellate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sommando la quota 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>arriv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su ferro 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896323">
        <w:rPr>
          <w:rFonts w:ascii="Times New Roman" w:hAnsi="Times New Roman" w:cs="Times New Roman"/>
          <w:sz w:val="24"/>
          <w:szCs w:val="24"/>
          <w:lang w:val="it-IT"/>
        </w:rPr>
        <w:t>quel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>arriv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 su gomma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:rsidR="0092393B" w:rsidRDefault="00C23C4C" w:rsidP="0051338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51338E">
        <w:rPr>
          <w:rFonts w:ascii="Times New Roman" w:hAnsi="Times New Roman" w:cs="Times New Roman"/>
          <w:sz w:val="24"/>
          <w:szCs w:val="24"/>
          <w:lang w:val="it-IT"/>
        </w:rPr>
        <w:t xml:space="preserve">irca il 39% della merce in ingresso </w:t>
      </w:r>
      <w:r>
        <w:rPr>
          <w:rFonts w:ascii="Times New Roman" w:hAnsi="Times New Roman" w:cs="Times New Roman"/>
          <w:sz w:val="24"/>
          <w:szCs w:val="24"/>
          <w:lang w:val="it-IT"/>
        </w:rPr>
        <w:t>proviene</w:t>
      </w:r>
      <w:r w:rsidR="0051338E">
        <w:rPr>
          <w:rFonts w:ascii="Times New Roman" w:hAnsi="Times New Roman" w:cs="Times New Roman"/>
          <w:sz w:val="24"/>
          <w:szCs w:val="24"/>
          <w:lang w:val="it-IT"/>
        </w:rPr>
        <w:t xml:space="preserve"> direttamente dalle aziende di produzione, via gomma. 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1338E">
        <w:rPr>
          <w:rFonts w:ascii="Times New Roman" w:hAnsi="Times New Roman" w:cs="Times New Roman"/>
          <w:sz w:val="24"/>
          <w:szCs w:val="24"/>
          <w:lang w:val="it-IT"/>
        </w:rPr>
        <w:t xml:space="preserve">e aziende di produzione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spesso </w:t>
      </w:r>
      <w:r w:rsidR="0051338E">
        <w:rPr>
          <w:rFonts w:ascii="Times New Roman" w:hAnsi="Times New Roman" w:cs="Times New Roman"/>
          <w:sz w:val="24"/>
          <w:szCs w:val="24"/>
          <w:lang w:val="it-IT"/>
        </w:rPr>
        <w:t>sono localizzate nell’Europa dell’Est e nel Far East</w:t>
      </w:r>
      <w:r>
        <w:rPr>
          <w:rFonts w:ascii="Times New Roman" w:hAnsi="Times New Roman" w:cs="Times New Roman"/>
          <w:sz w:val="24"/>
          <w:szCs w:val="24"/>
          <w:lang w:val="it-IT"/>
        </w:rPr>
        <w:t>. I</w:t>
      </w:r>
      <w:r w:rsidR="0051338E">
        <w:rPr>
          <w:rFonts w:ascii="Times New Roman" w:hAnsi="Times New Roman" w:cs="Times New Roman"/>
          <w:sz w:val="24"/>
          <w:szCs w:val="24"/>
          <w:lang w:val="it-IT"/>
        </w:rPr>
        <w:t xml:space="preserve">n </w:t>
      </w:r>
      <w:proofErr w:type="gramStart"/>
      <w:r w:rsidR="0051338E">
        <w:rPr>
          <w:rFonts w:ascii="Times New Roman" w:hAnsi="Times New Roman" w:cs="Times New Roman"/>
          <w:sz w:val="24"/>
          <w:szCs w:val="24"/>
          <w:lang w:val="it-IT"/>
        </w:rPr>
        <w:t>questo</w:t>
      </w:r>
      <w:proofErr w:type="gramEnd"/>
      <w:r w:rsidR="0051338E">
        <w:rPr>
          <w:rFonts w:ascii="Times New Roman" w:hAnsi="Times New Roman" w:cs="Times New Roman"/>
          <w:sz w:val="24"/>
          <w:szCs w:val="24"/>
          <w:lang w:val="it-IT"/>
        </w:rPr>
        <w:t xml:space="preserve"> ultimo caso la merce transita attraverso porti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marittimi </w:t>
      </w:r>
      <w:r w:rsidR="0051338E">
        <w:rPr>
          <w:rFonts w:ascii="Times New Roman" w:hAnsi="Times New Roman" w:cs="Times New Roman"/>
          <w:sz w:val="24"/>
          <w:szCs w:val="24"/>
          <w:lang w:val="it-IT"/>
        </w:rPr>
        <w:t>italiani, principalmente Genova, la Spezia e Livorno.</w:t>
      </w:r>
    </w:p>
    <w:p w:rsidR="0051338E" w:rsidRDefault="0051338E" w:rsidP="0051338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Circa il 30% della merce in ingresso a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>rriva a Piacenza via ferrovia</w:t>
      </w:r>
      <w:r>
        <w:rPr>
          <w:rFonts w:ascii="Times New Roman" w:hAnsi="Times New Roman" w:cs="Times New Roman"/>
          <w:sz w:val="24"/>
          <w:szCs w:val="24"/>
          <w:lang w:val="it-IT"/>
        </w:rPr>
        <w:t>, attraverso il Terminal Piacenza Intermodale</w:t>
      </w:r>
      <w:r w:rsidR="001A33A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94006F">
        <w:rPr>
          <w:rFonts w:ascii="Times New Roman" w:hAnsi="Times New Roman" w:cs="Times New Roman"/>
          <w:sz w:val="24"/>
          <w:szCs w:val="24"/>
          <w:lang w:val="it-IT"/>
        </w:rPr>
        <w:t xml:space="preserve">Nel Terminal avviene uno scambio modale, </w:t>
      </w:r>
      <w:proofErr w:type="gramStart"/>
      <w:r w:rsidR="0094006F">
        <w:rPr>
          <w:rFonts w:ascii="Times New Roman" w:hAnsi="Times New Roman" w:cs="Times New Roman"/>
          <w:sz w:val="24"/>
          <w:szCs w:val="24"/>
          <w:lang w:val="it-IT"/>
        </w:rPr>
        <w:t>ovvero</w:t>
      </w:r>
      <w:proofErr w:type="gramEnd"/>
      <w:r w:rsidR="0094006F">
        <w:rPr>
          <w:rFonts w:ascii="Times New Roman" w:hAnsi="Times New Roman" w:cs="Times New Roman"/>
          <w:sz w:val="24"/>
          <w:szCs w:val="24"/>
          <w:lang w:val="it-IT"/>
        </w:rPr>
        <w:t xml:space="preserve"> la merce che arriva via ferro viene trasferita su cami</w:t>
      </w:r>
      <w:r w:rsidR="00B60505">
        <w:rPr>
          <w:rFonts w:ascii="Times New Roman" w:hAnsi="Times New Roman" w:cs="Times New Roman"/>
          <w:sz w:val="24"/>
          <w:szCs w:val="24"/>
          <w:lang w:val="it-IT"/>
        </w:rPr>
        <w:t xml:space="preserve">on </w:t>
      </w:r>
      <w:r w:rsidR="0094006F">
        <w:rPr>
          <w:rFonts w:ascii="Times New Roman" w:hAnsi="Times New Roman" w:cs="Times New Roman"/>
          <w:sz w:val="24"/>
          <w:szCs w:val="24"/>
          <w:lang w:val="it-IT"/>
        </w:rPr>
        <w:t>e, viceversa, la merce che arriva via gomma viene caricata su treno</w:t>
      </w:r>
      <w:r w:rsidR="002527B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Essendo il traffico del Terminal bilanciato, </w:t>
      </w:r>
      <w:r w:rsidR="0092393B">
        <w:rPr>
          <w:rFonts w:ascii="Times New Roman" w:hAnsi="Times New Roman" w:cs="Times New Roman"/>
          <w:sz w:val="24"/>
          <w:szCs w:val="24"/>
          <w:lang w:val="it-IT"/>
        </w:rPr>
        <w:t>i medesimi quantitativi di merce, che entrano su ferro (</w:t>
      </w:r>
      <w:r>
        <w:rPr>
          <w:rFonts w:ascii="Times New Roman" w:hAnsi="Times New Roman" w:cs="Times New Roman"/>
          <w:sz w:val="24"/>
          <w:szCs w:val="24"/>
          <w:lang w:val="it-IT"/>
        </w:rPr>
        <w:t>circa 825.390 tonnellate</w:t>
      </w:r>
      <w:r w:rsidR="0092393B">
        <w:rPr>
          <w:rFonts w:ascii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gramStart"/>
      <w:r w:rsidRPr="0094006F">
        <w:rPr>
          <w:rFonts w:ascii="Times New Roman" w:hAnsi="Times New Roman" w:cs="Times New Roman"/>
          <w:sz w:val="24"/>
          <w:szCs w:val="24"/>
          <w:lang w:val="it-IT"/>
        </w:rPr>
        <w:t>arriva</w:t>
      </w:r>
      <w:r w:rsidR="0092393B" w:rsidRPr="0094006F">
        <w:rPr>
          <w:rFonts w:ascii="Times New Roman" w:hAnsi="Times New Roman" w:cs="Times New Roman"/>
          <w:sz w:val="24"/>
          <w:szCs w:val="24"/>
          <w:lang w:val="it-IT"/>
        </w:rPr>
        <w:t>no</w:t>
      </w:r>
      <w:proofErr w:type="gramEnd"/>
      <w:r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3BB6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nel Terminal </w:t>
      </w:r>
      <w:r>
        <w:rPr>
          <w:rFonts w:ascii="Times New Roman" w:hAnsi="Times New Roman" w:cs="Times New Roman"/>
          <w:sz w:val="24"/>
          <w:szCs w:val="24"/>
          <w:lang w:val="it-IT"/>
        </w:rPr>
        <w:t>anche via gomma</w:t>
      </w:r>
      <w:r w:rsidR="00955161">
        <w:rPr>
          <w:rFonts w:ascii="Times New Roman" w:hAnsi="Times New Roman" w:cs="Times New Roman"/>
          <w:sz w:val="24"/>
          <w:szCs w:val="24"/>
          <w:lang w:val="it-IT"/>
        </w:rPr>
        <w:t xml:space="preserve"> per far ripartir</w:t>
      </w:r>
      <w:r w:rsidR="001A33A3">
        <w:rPr>
          <w:rFonts w:ascii="Times New Roman" w:hAnsi="Times New Roman" w:cs="Times New Roman"/>
          <w:sz w:val="24"/>
          <w:szCs w:val="24"/>
          <w:lang w:val="it-IT"/>
        </w:rPr>
        <w:t xml:space="preserve">e il treno carico.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totale il Terminal </w:t>
      </w:r>
      <w:r w:rsidR="0092393B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ntermodale </w:t>
      </w:r>
      <w:r w:rsidR="00B60505">
        <w:rPr>
          <w:rFonts w:ascii="Times New Roman" w:hAnsi="Times New Roman" w:cs="Times New Roman"/>
          <w:sz w:val="24"/>
          <w:szCs w:val="24"/>
          <w:lang w:val="it-IT"/>
        </w:rPr>
        <w:t>genera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ingresso circa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milione e 650 mila 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>tonnellate</w:t>
      </w:r>
      <w:r>
        <w:rPr>
          <w:rFonts w:ascii="Times New Roman" w:hAnsi="Times New Roman" w:cs="Times New Roman"/>
          <w:sz w:val="24"/>
          <w:szCs w:val="24"/>
          <w:lang w:val="it-IT"/>
        </w:rPr>
        <w:t>/anno</w:t>
      </w:r>
      <w:r w:rsidR="001553E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E713C" w:rsidRDefault="00AE713C" w:rsidP="001A33A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 Terminal operano</w:t>
      </w:r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diversi operatori intermodali quali GTS Bari (I), TTS/</w:t>
      </w:r>
      <w:proofErr w:type="spellStart"/>
      <w:r w:rsidRPr="00AE713C">
        <w:rPr>
          <w:rFonts w:ascii="Times New Roman" w:hAnsi="Times New Roman" w:cs="Times New Roman"/>
          <w:sz w:val="24"/>
          <w:szCs w:val="24"/>
          <w:lang w:val="it-IT"/>
        </w:rPr>
        <w:t>Jost</w:t>
      </w:r>
      <w:proofErr w:type="spellEnd"/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E713C">
        <w:rPr>
          <w:rFonts w:ascii="Times New Roman" w:hAnsi="Times New Roman" w:cs="Times New Roman"/>
          <w:sz w:val="24"/>
          <w:szCs w:val="24"/>
          <w:lang w:val="it-IT"/>
        </w:rPr>
        <w:t>Hannut</w:t>
      </w:r>
      <w:proofErr w:type="spellEnd"/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(B), </w:t>
      </w:r>
      <w:proofErr w:type="spellStart"/>
      <w:r w:rsidRPr="00AE713C">
        <w:rPr>
          <w:rFonts w:ascii="Times New Roman" w:hAnsi="Times New Roman" w:cs="Times New Roman"/>
          <w:sz w:val="24"/>
          <w:szCs w:val="24"/>
          <w:lang w:val="it-IT"/>
        </w:rPr>
        <w:t>Codognotto</w:t>
      </w:r>
      <w:proofErr w:type="spellEnd"/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Salgareda (I), </w:t>
      </w:r>
      <w:proofErr w:type="spellStart"/>
      <w:r w:rsidRPr="00AE713C">
        <w:rPr>
          <w:rFonts w:ascii="Times New Roman" w:hAnsi="Times New Roman" w:cs="Times New Roman"/>
          <w:sz w:val="24"/>
          <w:szCs w:val="24"/>
          <w:lang w:val="it-IT"/>
        </w:rPr>
        <w:t>Kombiverkehr</w:t>
      </w:r>
      <w:proofErr w:type="spellEnd"/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Francoforte (D), </w:t>
      </w:r>
      <w:proofErr w:type="spellStart"/>
      <w:r w:rsidRPr="00AE713C">
        <w:rPr>
          <w:rFonts w:ascii="Times New Roman" w:hAnsi="Times New Roman" w:cs="Times New Roman"/>
          <w:sz w:val="24"/>
          <w:szCs w:val="24"/>
          <w:lang w:val="it-IT"/>
        </w:rPr>
        <w:t>Hupac</w:t>
      </w:r>
      <w:proofErr w:type="spellEnd"/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Chiasso (CH). Tra le principali </w:t>
      </w:r>
      <w:proofErr w:type="gramStart"/>
      <w:r w:rsidRPr="00AE713C">
        <w:rPr>
          <w:rFonts w:ascii="Times New Roman" w:hAnsi="Times New Roman" w:cs="Times New Roman"/>
          <w:sz w:val="24"/>
          <w:szCs w:val="24"/>
          <w:lang w:val="it-IT"/>
        </w:rPr>
        <w:t>relazioni</w:t>
      </w:r>
      <w:proofErr w:type="gramEnd"/>
      <w:r w:rsidRPr="00AE713C">
        <w:rPr>
          <w:rFonts w:ascii="Times New Roman" w:hAnsi="Times New Roman" w:cs="Times New Roman"/>
          <w:sz w:val="24"/>
          <w:szCs w:val="24"/>
          <w:lang w:val="it-IT"/>
        </w:rPr>
        <w:t xml:space="preserve"> di traffico ferroviario combinato troviamo Z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E713C">
        <w:rPr>
          <w:rFonts w:ascii="Times New Roman" w:hAnsi="Times New Roman" w:cs="Times New Roman"/>
          <w:sz w:val="24"/>
          <w:szCs w:val="24"/>
          <w:lang w:val="it-IT"/>
        </w:rPr>
        <w:t>ebrugge (Belgio), Rotterdam (Olanda), Liegi (Belgio), Wuppertal (Germania), Lodz (Polonia), Oradea (Romania),  Bari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Napoli.</w:t>
      </w:r>
    </w:p>
    <w:p w:rsidR="00924698" w:rsidRDefault="00924698" w:rsidP="001A33A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4698">
        <w:rPr>
          <w:rFonts w:ascii="Times New Roman" w:hAnsi="Times New Roman" w:cs="Times New Roman"/>
          <w:sz w:val="24"/>
          <w:szCs w:val="24"/>
          <w:lang w:val="it-IT"/>
        </w:rPr>
        <w:t>Le principali merceologie movimentate nelle piattaforme logistiche di Le Mose sono: casa, elettrodomestici e arredo; abbigliamento e accessori; materie prime (plastica, ferro e acciaio). Solo il Terminal Piacenza Intermodale movimenta merci pericolose, tra cui in particolare prodotti chimici, infiammabili e corrosivi.</w:t>
      </w:r>
    </w:p>
    <w:p w:rsidR="001A33A3" w:rsidRPr="00AE713C" w:rsidRDefault="001A33A3" w:rsidP="001A33A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34551" w:rsidRDefault="00A34551" w:rsidP="005165EE">
      <w:pPr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498F2B3" wp14:editId="07FCEF37">
            <wp:extent cx="5359179" cy="1860605"/>
            <wp:effectExtent l="0" t="0" r="13335" b="2540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65EE" w:rsidRDefault="005165EE" w:rsidP="00C506D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65EE" w:rsidRDefault="005165EE" w:rsidP="00FC360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merce in uscita: </w:t>
      </w:r>
      <w:r w:rsidR="00FC360A">
        <w:rPr>
          <w:rFonts w:ascii="Times New Roman" w:hAnsi="Times New Roman" w:cs="Times New Roman"/>
          <w:b/>
          <w:sz w:val="24"/>
          <w:szCs w:val="24"/>
          <w:lang w:val="it-IT"/>
        </w:rPr>
        <w:t>destinazione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17A05">
        <w:rPr>
          <w:rFonts w:ascii="Times New Roman" w:hAnsi="Times New Roman" w:cs="Times New Roman"/>
          <w:b/>
          <w:sz w:val="24"/>
          <w:szCs w:val="24"/>
          <w:lang w:val="it-IT"/>
        </w:rPr>
        <w:t>e quantitativi</w:t>
      </w:r>
    </w:p>
    <w:p w:rsidR="005C1B3C" w:rsidRDefault="005C1B3C" w:rsidP="005165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Nel corso del 2015 </w:t>
      </w:r>
      <w:r w:rsidR="00C23C4C">
        <w:rPr>
          <w:rFonts w:ascii="Times New Roman" w:hAnsi="Times New Roman" w:cs="Times New Roman"/>
          <w:sz w:val="24"/>
          <w:szCs w:val="24"/>
          <w:lang w:val="it-IT"/>
        </w:rPr>
        <w:t xml:space="preserve">la merce in uscita dal Polo di Le Mose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ammonta a 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circa </w:t>
      </w:r>
      <w:proofErr w:type="gramStart"/>
      <w:r w:rsidRPr="00311F16">
        <w:rPr>
          <w:rFonts w:ascii="Times New Roman" w:hAnsi="Times New Roman" w:cs="Times New Roman"/>
          <w:sz w:val="24"/>
          <w:szCs w:val="24"/>
          <w:lang w:val="it-IT"/>
        </w:rPr>
        <w:t>2</w:t>
      </w:r>
      <w:proofErr w:type="gramEnd"/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 milioni e </w:t>
      </w:r>
      <w:r>
        <w:rPr>
          <w:rFonts w:ascii="Times New Roman" w:hAnsi="Times New Roman" w:cs="Times New Roman"/>
          <w:sz w:val="24"/>
          <w:szCs w:val="24"/>
          <w:lang w:val="it-IT"/>
        </w:rPr>
        <w:t>933</w:t>
      </w:r>
      <w:r w:rsidRPr="00311F16">
        <w:rPr>
          <w:rFonts w:ascii="Times New Roman" w:hAnsi="Times New Roman" w:cs="Times New Roman"/>
          <w:sz w:val="24"/>
          <w:szCs w:val="24"/>
          <w:lang w:val="it-IT"/>
        </w:rPr>
        <w:t xml:space="preserve"> mila tonnellate</w:t>
      </w:r>
      <w:r w:rsidR="00876182">
        <w:rPr>
          <w:rFonts w:ascii="Times New Roman" w:hAnsi="Times New Roman" w:cs="Times New Roman"/>
          <w:sz w:val="24"/>
          <w:szCs w:val="24"/>
          <w:lang w:val="it-IT"/>
        </w:rPr>
        <w:t xml:space="preserve">. Tale </w:t>
      </w:r>
      <w:r>
        <w:rPr>
          <w:rFonts w:ascii="Times New Roman" w:hAnsi="Times New Roman" w:cs="Times New Roman"/>
          <w:sz w:val="24"/>
          <w:szCs w:val="24"/>
          <w:lang w:val="it-IT"/>
        </w:rPr>
        <w:t>dato è ottenuto sommando</w:t>
      </w:r>
      <w:r w:rsidR="00FD4AD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FD4AD9">
        <w:rPr>
          <w:rFonts w:ascii="Times New Roman" w:hAnsi="Times New Roman" w:cs="Times New Roman"/>
          <w:sz w:val="24"/>
          <w:szCs w:val="24"/>
          <w:lang w:val="it-IT"/>
        </w:rPr>
        <w:t>i quantitativi</w:t>
      </w:r>
      <w:proofErr w:type="gramEnd"/>
      <w:r w:rsidR="00FD4AD9">
        <w:rPr>
          <w:rFonts w:ascii="Times New Roman" w:hAnsi="Times New Roman" w:cs="Times New Roman"/>
          <w:sz w:val="24"/>
          <w:szCs w:val="24"/>
          <w:lang w:val="it-IT"/>
        </w:rPr>
        <w:t xml:space="preserve"> della merce in uscita via gomma e via treno.</w:t>
      </w:r>
      <w:r w:rsidR="00C52C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E0656" w:rsidRDefault="005165EE" w:rsidP="005165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Circa il 33% della merce in uscita </w:t>
      </w:r>
      <w:r w:rsidR="005C1B3C">
        <w:rPr>
          <w:rFonts w:ascii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consegna</w:t>
      </w:r>
      <w:r w:rsidR="005C1B3C">
        <w:rPr>
          <w:rFonts w:ascii="Times New Roman" w:hAnsi="Times New Roman" w:cs="Times New Roman"/>
          <w:sz w:val="24"/>
          <w:szCs w:val="24"/>
          <w:lang w:val="it-IT"/>
        </w:rPr>
        <w:t>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C75D9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94006F">
        <w:rPr>
          <w:rFonts w:ascii="Times New Roman" w:hAnsi="Times New Roman" w:cs="Times New Roman"/>
          <w:sz w:val="24"/>
          <w:szCs w:val="24"/>
          <w:lang w:val="it-IT"/>
        </w:rPr>
        <w:t>punti</w:t>
      </w:r>
      <w:r w:rsidR="005C1B3C" w:rsidRPr="0094006F">
        <w:rPr>
          <w:rFonts w:ascii="Times New Roman" w:hAnsi="Times New Roman" w:cs="Times New Roman"/>
          <w:sz w:val="24"/>
          <w:szCs w:val="24"/>
          <w:lang w:val="it-IT"/>
        </w:rPr>
        <w:t>-vendita</w:t>
      </w:r>
      <w:r w:rsidR="00217A05">
        <w:rPr>
          <w:rFonts w:ascii="Times New Roman" w:hAnsi="Times New Roman" w:cs="Times New Roman"/>
          <w:sz w:val="24"/>
          <w:szCs w:val="24"/>
          <w:lang w:val="it-IT"/>
        </w:rPr>
        <w:t>, il 30% è la quota di merce in uscita dal Terminal via ferro</w:t>
      </w:r>
      <w:r w:rsidR="005E06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55B8">
        <w:rPr>
          <w:rFonts w:ascii="Times New Roman" w:hAnsi="Times New Roman" w:cs="Times New Roman"/>
          <w:sz w:val="24"/>
          <w:szCs w:val="24"/>
          <w:lang w:val="it-IT"/>
        </w:rPr>
        <w:t>verso altri interporti o impianti ferroviari</w:t>
      </w:r>
      <w:r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gramStart"/>
      <w:r w:rsidR="00C52C1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gramEnd"/>
      <w:r w:rsidR="00C52C1C">
        <w:rPr>
          <w:rFonts w:ascii="Times New Roman" w:hAnsi="Times New Roman" w:cs="Times New Roman"/>
          <w:sz w:val="24"/>
          <w:szCs w:val="24"/>
          <w:lang w:val="it-IT"/>
        </w:rPr>
        <w:t xml:space="preserve"> seguito dello scambio modale, il</w:t>
      </w:r>
      <w:r w:rsidR="005E0656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 Terminal </w:t>
      </w:r>
      <w:r w:rsidR="00C52C1C">
        <w:rPr>
          <w:rFonts w:ascii="Times New Roman" w:hAnsi="Times New Roman" w:cs="Times New Roman"/>
          <w:sz w:val="24"/>
          <w:szCs w:val="24"/>
          <w:lang w:val="it-IT"/>
        </w:rPr>
        <w:t xml:space="preserve">genera anche un 30% </w:t>
      </w:r>
      <w:r w:rsidR="005E0656">
        <w:rPr>
          <w:rFonts w:ascii="Times New Roman" w:hAnsi="Times New Roman" w:cs="Times New Roman"/>
          <w:sz w:val="24"/>
          <w:szCs w:val="24"/>
          <w:lang w:val="it-IT"/>
        </w:rPr>
        <w:t>di merce che esce via gomma</w:t>
      </w:r>
      <w:r w:rsidR="00DA60F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165EE" w:rsidRDefault="002E0F80" w:rsidP="005165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Complessivamente c</w:t>
      </w:r>
      <w:r w:rsidR="005165EE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irca il </w:t>
      </w:r>
      <w:r w:rsidR="00FC75D9" w:rsidRPr="0094006F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5165EE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0% della merce in uscita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dal Polo di Le Mose </w:t>
      </w:r>
      <w:r w:rsidR="00A44EF3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transita </w:t>
      </w:r>
      <w:r w:rsidR="00FC75D9" w:rsidRPr="0094006F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A44EF3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165EE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Terminal </w:t>
      </w:r>
      <w:r w:rsidR="00FC75D9" w:rsidRPr="0094006F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ntermodale, in valore assoluto circa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milione e 752 mila tonnellate/anno, dei quali </w:t>
      </w:r>
      <w:r w:rsidR="00216F97" w:rsidRPr="0094006F">
        <w:rPr>
          <w:rFonts w:ascii="Times New Roman" w:hAnsi="Times New Roman" w:cs="Times New Roman"/>
          <w:sz w:val="24"/>
          <w:szCs w:val="24"/>
          <w:lang w:val="it-IT"/>
        </w:rPr>
        <w:t xml:space="preserve">876 mila tonnellate uscite </w:t>
      </w:r>
      <w:r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="00216F97">
        <w:rPr>
          <w:rFonts w:ascii="Times New Roman" w:hAnsi="Times New Roman" w:cs="Times New Roman"/>
          <w:sz w:val="24"/>
          <w:szCs w:val="24"/>
          <w:lang w:val="it-IT"/>
        </w:rPr>
        <w:t xml:space="preserve"> ferro ed altrettante su gomma.</w:t>
      </w:r>
      <w:r w:rsidR="005165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924698" w:rsidRDefault="00924698" w:rsidP="005165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24698" w:rsidRDefault="00743B4F" w:rsidP="00382939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F89A2B8" wp14:editId="3E3446E8">
            <wp:extent cx="5192202" cy="2258171"/>
            <wp:effectExtent l="0" t="0" r="27940" b="2794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4698" w:rsidRDefault="00924698" w:rsidP="00382939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90D64" w:rsidRDefault="005165EE" w:rsidP="00382939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 c</w:t>
      </w:r>
      <w:r w:rsidR="00E33CA4">
        <w:rPr>
          <w:rFonts w:ascii="Times New Roman" w:hAnsi="Times New Roman" w:cs="Times New Roman"/>
          <w:b/>
          <w:sz w:val="24"/>
          <w:szCs w:val="24"/>
          <w:lang w:val="it-IT"/>
        </w:rPr>
        <w:t>apitale umano</w:t>
      </w:r>
    </w:p>
    <w:p w:rsidR="008B5B21" w:rsidRPr="008B5B21" w:rsidRDefault="00820982" w:rsidP="00C47BB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All’interno dei</w:t>
      </w:r>
      <w:r w:rsidR="0040485E">
        <w:rPr>
          <w:rFonts w:ascii="Times New Roman" w:hAnsi="Times New Roman" w:cs="Times New Roman"/>
          <w:sz w:val="24"/>
          <w:szCs w:val="24"/>
          <w:lang w:val="it-IT"/>
        </w:rPr>
        <w:t xml:space="preserve"> depositi del Polo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0485E">
        <w:rPr>
          <w:rFonts w:ascii="Times New Roman" w:hAnsi="Times New Roman" w:cs="Times New Roman"/>
          <w:sz w:val="24"/>
          <w:szCs w:val="24"/>
          <w:lang w:val="it-IT"/>
        </w:rPr>
        <w:t>Le Mose operano complessivamente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>, in media,</w:t>
      </w:r>
      <w:r w:rsidR="004048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C6D22">
        <w:rPr>
          <w:rFonts w:ascii="Times New Roman" w:hAnsi="Times New Roman" w:cs="Times New Roman"/>
          <w:sz w:val="24"/>
          <w:szCs w:val="24"/>
          <w:lang w:val="it-IT"/>
        </w:rPr>
        <w:t>più di</w:t>
      </w:r>
      <w:r w:rsidR="0040485E">
        <w:rPr>
          <w:rFonts w:ascii="Times New Roman" w:hAnsi="Times New Roman" w:cs="Times New Roman"/>
          <w:sz w:val="24"/>
          <w:szCs w:val="24"/>
          <w:lang w:val="it-IT"/>
        </w:rPr>
        <w:t xml:space="preserve"> 1.800 addetti.</w:t>
      </w:r>
    </w:p>
    <w:p w:rsidR="00976BE3" w:rsidRDefault="008C6D22" w:rsidP="00C47BB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 dirette dipendenze degli operatori logistici lavorano 540 persone (il 30% del totale</w:t>
      </w:r>
      <w:r w:rsidR="00717300">
        <w:rPr>
          <w:rFonts w:ascii="Times New Roman" w:hAnsi="Times New Roman" w:cs="Times New Roman"/>
          <w:sz w:val="24"/>
          <w:szCs w:val="24"/>
          <w:lang w:val="it-IT"/>
        </w:rPr>
        <w:t xml:space="preserve"> degli addetti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33CA4">
        <w:rPr>
          <w:rFonts w:ascii="Times New Roman" w:hAnsi="Times New Roman" w:cs="Times New Roman"/>
          <w:sz w:val="24"/>
          <w:szCs w:val="24"/>
          <w:lang w:val="it-IT"/>
        </w:rPr>
        <w:t>, di cui il 76% è impiegato in ufficio e il 24% in magazzino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9E5E06">
        <w:rPr>
          <w:rFonts w:ascii="Times New Roman" w:hAnsi="Times New Roman" w:cs="Times New Roman"/>
          <w:sz w:val="24"/>
          <w:szCs w:val="24"/>
          <w:lang w:val="it-IT"/>
        </w:rPr>
        <w:t>La rimanente parte</w:t>
      </w:r>
      <w:r w:rsidR="00717300">
        <w:rPr>
          <w:rFonts w:ascii="Times New Roman" w:hAnsi="Times New Roman" w:cs="Times New Roman"/>
          <w:sz w:val="24"/>
          <w:szCs w:val="24"/>
          <w:lang w:val="it-IT"/>
        </w:rPr>
        <w:t xml:space="preserve"> degli addetti totali di Le Mose </w:t>
      </w:r>
      <w:r w:rsidR="009E5E06">
        <w:rPr>
          <w:rFonts w:ascii="Times New Roman" w:hAnsi="Times New Roman" w:cs="Times New Roman"/>
          <w:sz w:val="24"/>
          <w:szCs w:val="24"/>
          <w:lang w:val="it-IT"/>
        </w:rPr>
        <w:t xml:space="preserve">(circa il 70%) </w:t>
      </w:r>
      <w:r w:rsidR="00717300">
        <w:rPr>
          <w:rFonts w:ascii="Times New Roman" w:hAnsi="Times New Roman" w:cs="Times New Roman"/>
          <w:sz w:val="24"/>
          <w:szCs w:val="24"/>
          <w:lang w:val="it-IT"/>
        </w:rPr>
        <w:t xml:space="preserve">è personale di cooperative di facchinaggio </w:t>
      </w:r>
      <w:proofErr w:type="gramStart"/>
      <w:r w:rsidR="00717300">
        <w:rPr>
          <w:rFonts w:ascii="Times New Roman" w:hAnsi="Times New Roman" w:cs="Times New Roman"/>
          <w:sz w:val="24"/>
          <w:szCs w:val="24"/>
          <w:lang w:val="it-IT"/>
        </w:rPr>
        <w:t>a cui</w:t>
      </w:r>
      <w:proofErr w:type="gramEnd"/>
      <w:r w:rsidR="00717300">
        <w:rPr>
          <w:rFonts w:ascii="Times New Roman" w:hAnsi="Times New Roman" w:cs="Times New Roman"/>
          <w:sz w:val="24"/>
          <w:szCs w:val="24"/>
          <w:lang w:val="it-IT"/>
        </w:rPr>
        <w:t xml:space="preserve"> gli operatori logistici esternalizzano parte delle attività di gestione dei magazzini.</w:t>
      </w:r>
      <w:r w:rsidR="008F44AD">
        <w:rPr>
          <w:rFonts w:ascii="Times New Roman" w:hAnsi="Times New Roman" w:cs="Times New Roman"/>
          <w:sz w:val="24"/>
          <w:szCs w:val="24"/>
          <w:lang w:val="it-IT"/>
        </w:rPr>
        <w:t xml:space="preserve"> Si tratta di 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 xml:space="preserve">circa </w:t>
      </w:r>
      <w:r w:rsidR="008F44AD">
        <w:rPr>
          <w:rFonts w:ascii="Times New Roman" w:hAnsi="Times New Roman" w:cs="Times New Roman"/>
          <w:sz w:val="24"/>
          <w:szCs w:val="24"/>
          <w:lang w:val="it-IT"/>
        </w:rPr>
        <w:t xml:space="preserve">1.280 addetti, che per il 3% sono occupati in mansioni di ufficio e il restante 97% opera in </w:t>
      </w:r>
      <w:r w:rsidR="00976BE3">
        <w:rPr>
          <w:rFonts w:ascii="Times New Roman" w:hAnsi="Times New Roman" w:cs="Times New Roman"/>
          <w:sz w:val="24"/>
          <w:szCs w:val="24"/>
          <w:lang w:val="it-IT"/>
        </w:rPr>
        <w:t>magazzino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24698" w:rsidRDefault="005165EE" w:rsidP="005165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Tendenzialmente le giornate lavorative in una settimana sono cinque, dal lunedì al venerdì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165EE" w:rsidRPr="003D42E1" w:rsidRDefault="00255F1F" w:rsidP="005165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stagionalità della domanda di consumo, indicativamente concentrata nei periodi di </w:t>
      </w:r>
      <w:r w:rsidR="005071BC">
        <w:rPr>
          <w:rFonts w:ascii="Times New Roman" w:hAnsi="Times New Roman" w:cs="Times New Roman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sz w:val="24"/>
          <w:szCs w:val="24"/>
          <w:lang w:val="it-IT"/>
        </w:rPr>
        <w:t>cambio stagione</w:t>
      </w:r>
      <w:r w:rsidR="005071BC">
        <w:rPr>
          <w:rFonts w:ascii="Times New Roman" w:hAnsi="Times New Roman" w:cs="Times New Roman"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delle festività, influisce sul dato medio dell’occupazione.</w:t>
      </w:r>
    </w:p>
    <w:p w:rsidR="00BB7EF0" w:rsidRDefault="00BB7EF0" w:rsidP="00086EE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E5E06" w:rsidRDefault="009E5E06" w:rsidP="00086EE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E5E06" w:rsidRDefault="009E5E06" w:rsidP="00086EE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E5E06" w:rsidRDefault="009E5E06" w:rsidP="00086EE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51E37" w:rsidRPr="00F51E37" w:rsidRDefault="00F51E37" w:rsidP="00086EE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51E37"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viluppi futuri</w:t>
      </w:r>
    </w:p>
    <w:p w:rsidR="007F360B" w:rsidRDefault="007F360B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termine del 2015 è stata affidata la gestione di tre diversi parcheggi pubblici localizzati nel Polo Le Mose, di proprietà del Comune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Piacenza, attraverso gara 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>pubblica</w:t>
      </w:r>
      <w:r>
        <w:rPr>
          <w:rFonts w:ascii="Times New Roman" w:hAnsi="Times New Roman" w:cs="Times New Roman"/>
          <w:sz w:val="24"/>
          <w:szCs w:val="24"/>
          <w:lang w:val="it-IT"/>
        </w:rPr>
        <w:t>, a soggetti privati</w:t>
      </w:r>
      <w:r w:rsidR="0092469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al fine di organizzare aree attrezzate per i trasportatori, in particolare con servizi igienici e aree ristoro. Tali aree saranno recintate e soggette a controlli </w:t>
      </w:r>
      <w:r w:rsidR="00CF6CEF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>
        <w:rPr>
          <w:rFonts w:ascii="Times New Roman" w:hAnsi="Times New Roman" w:cs="Times New Roman"/>
          <w:sz w:val="24"/>
          <w:szCs w:val="24"/>
          <w:lang w:val="it-IT"/>
        </w:rPr>
        <w:t>aumentarne la sicurezza in particolare per gli utili</w:t>
      </w:r>
      <w:r w:rsidR="00611020">
        <w:rPr>
          <w:rFonts w:ascii="Times New Roman" w:hAnsi="Times New Roman" w:cs="Times New Roman"/>
          <w:sz w:val="24"/>
          <w:szCs w:val="24"/>
          <w:lang w:val="it-IT"/>
        </w:rPr>
        <w:t>zzatori nelle ore notturne. Le aree attrezzate saranno rese disponibili nel corso del 2017.</w:t>
      </w:r>
    </w:p>
    <w:p w:rsidR="00611020" w:rsidRDefault="00611020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360B" w:rsidRPr="007F360B" w:rsidRDefault="007F360B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360B">
        <w:rPr>
          <w:rFonts w:ascii="Times New Roman" w:hAnsi="Times New Roman" w:cs="Times New Roman"/>
          <w:sz w:val="24"/>
          <w:szCs w:val="24"/>
          <w:lang w:val="it-IT"/>
        </w:rPr>
        <w:t xml:space="preserve">E' in fase di sviluppo un progetto per la costruzione di un nuovo moderno terminale intermodale, da parte della società Centro Intermodale di Piacenza (società del gruppo </w:t>
      </w:r>
      <w:proofErr w:type="spellStart"/>
      <w:r w:rsidRPr="007F360B">
        <w:rPr>
          <w:rFonts w:ascii="Times New Roman" w:hAnsi="Times New Roman" w:cs="Times New Roman"/>
          <w:sz w:val="24"/>
          <w:szCs w:val="24"/>
          <w:lang w:val="it-IT"/>
        </w:rPr>
        <w:t>Hupac</w:t>
      </w:r>
      <w:proofErr w:type="spellEnd"/>
      <w:r w:rsidRPr="007F360B">
        <w:rPr>
          <w:rFonts w:ascii="Times New Roman" w:hAnsi="Times New Roman" w:cs="Times New Roman"/>
          <w:sz w:val="24"/>
          <w:szCs w:val="24"/>
          <w:lang w:val="it-IT"/>
        </w:rPr>
        <w:t xml:space="preserve">) e di FSL (società del gruppo Trenitalia), che permetterà, </w:t>
      </w:r>
      <w:proofErr w:type="gramStart"/>
      <w:r w:rsidRPr="007F360B">
        <w:rPr>
          <w:rFonts w:ascii="Times New Roman" w:hAnsi="Times New Roman" w:cs="Times New Roman"/>
          <w:sz w:val="24"/>
          <w:szCs w:val="24"/>
          <w:lang w:val="it-IT"/>
        </w:rPr>
        <w:t>a partire dal</w:t>
      </w:r>
      <w:proofErr w:type="gramEnd"/>
      <w:r w:rsidRPr="007F360B">
        <w:rPr>
          <w:rFonts w:ascii="Times New Roman" w:hAnsi="Times New Roman" w:cs="Times New Roman"/>
          <w:sz w:val="24"/>
          <w:szCs w:val="24"/>
          <w:lang w:val="it-IT"/>
        </w:rPr>
        <w:t xml:space="preserve"> 2019, più di un r</w:t>
      </w:r>
      <w:r w:rsidR="006D706C">
        <w:rPr>
          <w:rFonts w:ascii="Times New Roman" w:hAnsi="Times New Roman" w:cs="Times New Roman"/>
          <w:sz w:val="24"/>
          <w:szCs w:val="24"/>
          <w:lang w:val="it-IT"/>
        </w:rPr>
        <w:t xml:space="preserve">addoppio delle capacità attuali </w:t>
      </w:r>
      <w:r w:rsidR="006D706C" w:rsidRPr="006D706C">
        <w:rPr>
          <w:rFonts w:ascii="Times New Roman" w:hAnsi="Times New Roman" w:cs="Times New Roman"/>
          <w:sz w:val="24"/>
          <w:szCs w:val="24"/>
          <w:lang w:val="it-IT"/>
        </w:rPr>
        <w:t>e che sarà in grado di accogliere treni da 750 metri e profilo di 4 metri di altezza, corrispondenti agli standard europei TEN-T</w:t>
      </w:r>
      <w:r w:rsidR="006D706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F360B" w:rsidRDefault="007F360B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Default="00391370" w:rsidP="007F360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B7EF0" w:rsidRDefault="00BB7EF0" w:rsidP="007F360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B7EF0" w:rsidRDefault="00BB7EF0" w:rsidP="007F360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________________________________________________________________________________</w:t>
      </w:r>
    </w:p>
    <w:p w:rsidR="00BB7EF0" w:rsidRDefault="00BB7EF0" w:rsidP="00BB7E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Lo studio </w:t>
      </w:r>
      <w:r w:rsidRPr="00BB7EF0">
        <w:rPr>
          <w:rFonts w:ascii="Times New Roman" w:hAnsi="Times New Roman" w:cs="Times New Roman"/>
          <w:sz w:val="24"/>
          <w:szCs w:val="24"/>
          <w:lang w:val="it-IT"/>
        </w:rPr>
        <w:t>“La dimensione del comparto della logistica e dei trasporti nella provincia di Piacenza”,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è stato commissionato da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soggetti proprietari delle aree del Polo Le Mose alla sede piacentina dell’Istituto sui Trasporti e la Logistica (ITL). Le elaborazioni sono il risultato di rilevazioni e analisi condotte nel 2016. La proprietà dei dati è da imputarsi ai soggetti capofila che ne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hanno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commissionato la realizzazione.</w:t>
      </w:r>
    </w:p>
    <w:p w:rsidR="00657AD2" w:rsidRDefault="00657AD2" w:rsidP="00391370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Pr="00A93847" w:rsidRDefault="00391370" w:rsidP="00391370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93847">
        <w:rPr>
          <w:rFonts w:ascii="Times New Roman" w:hAnsi="Times New Roman" w:cs="Times New Roman"/>
          <w:sz w:val="24"/>
          <w:szCs w:val="24"/>
          <w:u w:val="single"/>
          <w:lang w:val="it-IT"/>
        </w:rPr>
        <w:t>Soggetti Capofila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 xml:space="preserve">Generali </w:t>
      </w:r>
      <w:proofErr w:type="spellStart"/>
      <w:r w:rsidRPr="00391370">
        <w:rPr>
          <w:rFonts w:ascii="Times New Roman" w:hAnsi="Times New Roman" w:cs="Times New Roman"/>
          <w:sz w:val="24"/>
          <w:szCs w:val="24"/>
          <w:lang w:val="it-IT"/>
        </w:rPr>
        <w:t>Properties</w:t>
      </w:r>
      <w:bookmarkStart w:id="0" w:name="_GoBack"/>
      <w:bookmarkEnd w:id="0"/>
      <w:proofErr w:type="spellEnd"/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 xml:space="preserve">Piacenza Intermodale 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9E5E06">
        <w:rPr>
          <w:rFonts w:ascii="Times New Roman" w:hAnsi="Times New Roman" w:cs="Times New Roman"/>
          <w:sz w:val="24"/>
          <w:szCs w:val="24"/>
          <w:lang w:val="it-IT"/>
        </w:rPr>
        <w:t>IKEA Italia Distribution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 xml:space="preserve">Terminal Piacenza Intermodale 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Pr="00A93847" w:rsidRDefault="00391370" w:rsidP="00391370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93847">
        <w:rPr>
          <w:rFonts w:ascii="Times New Roman" w:hAnsi="Times New Roman" w:cs="Times New Roman"/>
          <w:sz w:val="24"/>
          <w:szCs w:val="24"/>
          <w:u w:val="single"/>
          <w:lang w:val="it-IT"/>
        </w:rPr>
        <w:t>Sostenitori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 xml:space="preserve">Confindustria Piacenza </w:t>
      </w:r>
    </w:p>
    <w:p w:rsidR="00BB7EF0" w:rsidRPr="00391370" w:rsidRDefault="00BB7EF0" w:rsidP="00BB7EF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>Camera di Commercio di Piacenza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Pr="00A93847" w:rsidRDefault="00391370" w:rsidP="00391370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93847">
        <w:rPr>
          <w:rFonts w:ascii="Times New Roman" w:hAnsi="Times New Roman" w:cs="Times New Roman"/>
          <w:sz w:val="24"/>
          <w:szCs w:val="24"/>
          <w:u w:val="single"/>
          <w:lang w:val="it-IT"/>
        </w:rPr>
        <w:t>Istituzioni</w:t>
      </w:r>
    </w:p>
    <w:p w:rsidR="00391370" w:rsidRDefault="00BB7EF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Comune di Piacenza</w:t>
      </w:r>
    </w:p>
    <w:p w:rsidR="00BB7EF0" w:rsidRPr="00391370" w:rsidRDefault="00BB7EF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Pr="00A93847" w:rsidRDefault="00391370" w:rsidP="00391370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93847">
        <w:rPr>
          <w:rFonts w:ascii="Times New Roman" w:hAnsi="Times New Roman" w:cs="Times New Roman"/>
          <w:sz w:val="24"/>
          <w:szCs w:val="24"/>
          <w:u w:val="single"/>
          <w:lang w:val="it-IT"/>
        </w:rPr>
        <w:t>Partner Tecnico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370">
        <w:rPr>
          <w:rFonts w:ascii="Times New Roman" w:hAnsi="Times New Roman" w:cs="Times New Roman"/>
          <w:sz w:val="24"/>
          <w:szCs w:val="24"/>
          <w:lang w:val="it-IT"/>
        </w:rPr>
        <w:t xml:space="preserve">Istituto sui Trasporti e la Logistica </w:t>
      </w: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Pr="00391370" w:rsidRDefault="00391370" w:rsidP="0039137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1370" w:rsidRDefault="00391370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3847" w:rsidRPr="00391370" w:rsidRDefault="00A93847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11020" w:rsidRPr="007F360B" w:rsidRDefault="00611020" w:rsidP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360B" w:rsidRDefault="007F360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51E37" w:rsidRPr="003D42E1" w:rsidRDefault="00F51E3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51E37" w:rsidRPr="003D42E1" w:rsidSect="000A065A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DC" w:rsidRDefault="007807DC" w:rsidP="008A7E7A">
      <w:r>
        <w:separator/>
      </w:r>
    </w:p>
  </w:endnote>
  <w:endnote w:type="continuationSeparator" w:id="0">
    <w:p w:rsidR="007807DC" w:rsidRDefault="007807DC" w:rsidP="008A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0125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C10F4" w:rsidRPr="00374974" w:rsidRDefault="006C10F4">
        <w:pPr>
          <w:pStyle w:val="Pidipagina"/>
          <w:jc w:val="right"/>
          <w:rPr>
            <w:rFonts w:ascii="Times New Roman" w:hAnsi="Times New Roman" w:cs="Times New Roman"/>
          </w:rPr>
        </w:pPr>
        <w:r w:rsidRPr="00374974">
          <w:rPr>
            <w:rFonts w:ascii="Times New Roman" w:hAnsi="Times New Roman" w:cs="Times New Roman"/>
          </w:rPr>
          <w:fldChar w:fldCharType="begin"/>
        </w:r>
        <w:r w:rsidRPr="00374974">
          <w:rPr>
            <w:rFonts w:ascii="Times New Roman" w:hAnsi="Times New Roman" w:cs="Times New Roman"/>
          </w:rPr>
          <w:instrText>PAGE   \* MERGEFORMAT</w:instrText>
        </w:r>
        <w:r w:rsidRPr="00374974">
          <w:rPr>
            <w:rFonts w:ascii="Times New Roman" w:hAnsi="Times New Roman" w:cs="Times New Roman"/>
          </w:rPr>
          <w:fldChar w:fldCharType="separate"/>
        </w:r>
        <w:r w:rsidR="009E5E06" w:rsidRPr="009E5E06">
          <w:rPr>
            <w:rFonts w:ascii="Times New Roman" w:hAnsi="Times New Roman" w:cs="Times New Roman"/>
            <w:noProof/>
            <w:lang w:val="it-IT"/>
          </w:rPr>
          <w:t>6</w:t>
        </w:r>
        <w:r w:rsidRPr="00374974">
          <w:rPr>
            <w:rFonts w:ascii="Times New Roman" w:hAnsi="Times New Roman" w:cs="Times New Roman"/>
          </w:rPr>
          <w:fldChar w:fldCharType="end"/>
        </w:r>
      </w:p>
    </w:sdtContent>
  </w:sdt>
  <w:p w:rsidR="006C10F4" w:rsidRDefault="006C10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DC" w:rsidRDefault="007807DC" w:rsidP="008A7E7A">
      <w:r>
        <w:separator/>
      </w:r>
    </w:p>
  </w:footnote>
  <w:footnote w:type="continuationSeparator" w:id="0">
    <w:p w:rsidR="007807DC" w:rsidRDefault="007807DC" w:rsidP="008A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F4" w:rsidRDefault="006C10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A4EB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D1147"/>
    <w:multiLevelType w:val="hybridMultilevel"/>
    <w:tmpl w:val="8FAE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7B2A"/>
    <w:multiLevelType w:val="hybridMultilevel"/>
    <w:tmpl w:val="61D00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38C"/>
    <w:multiLevelType w:val="hybridMultilevel"/>
    <w:tmpl w:val="E46ED8F4"/>
    <w:lvl w:ilvl="0" w:tplc="7248C7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746C7"/>
    <w:multiLevelType w:val="hybridMultilevel"/>
    <w:tmpl w:val="65FAA35C"/>
    <w:lvl w:ilvl="0" w:tplc="1924F8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17B3F"/>
    <w:multiLevelType w:val="hybridMultilevel"/>
    <w:tmpl w:val="1032A538"/>
    <w:lvl w:ilvl="0" w:tplc="48460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8D"/>
    <w:rsid w:val="00003C60"/>
    <w:rsid w:val="00026106"/>
    <w:rsid w:val="00045993"/>
    <w:rsid w:val="00051415"/>
    <w:rsid w:val="0005281F"/>
    <w:rsid w:val="00061FF4"/>
    <w:rsid w:val="00066CBD"/>
    <w:rsid w:val="00070054"/>
    <w:rsid w:val="000719CB"/>
    <w:rsid w:val="00081266"/>
    <w:rsid w:val="000834D5"/>
    <w:rsid w:val="00086EEA"/>
    <w:rsid w:val="000911EB"/>
    <w:rsid w:val="0009248B"/>
    <w:rsid w:val="0009558B"/>
    <w:rsid w:val="00095C5E"/>
    <w:rsid w:val="00096AAE"/>
    <w:rsid w:val="000A060F"/>
    <w:rsid w:val="000A065A"/>
    <w:rsid w:val="000A277C"/>
    <w:rsid w:val="000A3D35"/>
    <w:rsid w:val="000A7E98"/>
    <w:rsid w:val="000C051A"/>
    <w:rsid w:val="000C678E"/>
    <w:rsid w:val="000D6D58"/>
    <w:rsid w:val="000E02C3"/>
    <w:rsid w:val="000E0DB0"/>
    <w:rsid w:val="000E2728"/>
    <w:rsid w:val="000E4A7A"/>
    <w:rsid w:val="000F236C"/>
    <w:rsid w:val="000F6FE7"/>
    <w:rsid w:val="00104210"/>
    <w:rsid w:val="001108ED"/>
    <w:rsid w:val="00110C99"/>
    <w:rsid w:val="0011516E"/>
    <w:rsid w:val="001165D8"/>
    <w:rsid w:val="00116BB9"/>
    <w:rsid w:val="00121896"/>
    <w:rsid w:val="001349EA"/>
    <w:rsid w:val="00141DED"/>
    <w:rsid w:val="00153C2B"/>
    <w:rsid w:val="00154E6D"/>
    <w:rsid w:val="001553E5"/>
    <w:rsid w:val="001661FC"/>
    <w:rsid w:val="001710B5"/>
    <w:rsid w:val="00173959"/>
    <w:rsid w:val="0017432F"/>
    <w:rsid w:val="00174D59"/>
    <w:rsid w:val="00180DBC"/>
    <w:rsid w:val="00182ECA"/>
    <w:rsid w:val="00190092"/>
    <w:rsid w:val="0019794B"/>
    <w:rsid w:val="001A2B50"/>
    <w:rsid w:val="001A33A3"/>
    <w:rsid w:val="001B3381"/>
    <w:rsid w:val="001B3CF0"/>
    <w:rsid w:val="001B4A5D"/>
    <w:rsid w:val="001B7BC7"/>
    <w:rsid w:val="001B7D77"/>
    <w:rsid w:val="001C6A5E"/>
    <w:rsid w:val="001D3BB6"/>
    <w:rsid w:val="001D56EB"/>
    <w:rsid w:val="001E7863"/>
    <w:rsid w:val="001F3688"/>
    <w:rsid w:val="001F54BC"/>
    <w:rsid w:val="001F6C89"/>
    <w:rsid w:val="001F79CE"/>
    <w:rsid w:val="00200FAD"/>
    <w:rsid w:val="0020555F"/>
    <w:rsid w:val="00210D87"/>
    <w:rsid w:val="0021219D"/>
    <w:rsid w:val="00214A6D"/>
    <w:rsid w:val="00215318"/>
    <w:rsid w:val="00216F97"/>
    <w:rsid w:val="00217A05"/>
    <w:rsid w:val="002203E8"/>
    <w:rsid w:val="00221A04"/>
    <w:rsid w:val="00223124"/>
    <w:rsid w:val="00233346"/>
    <w:rsid w:val="002345B8"/>
    <w:rsid w:val="0025033B"/>
    <w:rsid w:val="002527BF"/>
    <w:rsid w:val="00255F1F"/>
    <w:rsid w:val="00262CE7"/>
    <w:rsid w:val="002636FF"/>
    <w:rsid w:val="002735F5"/>
    <w:rsid w:val="00273681"/>
    <w:rsid w:val="00276387"/>
    <w:rsid w:val="00276FFA"/>
    <w:rsid w:val="002846E7"/>
    <w:rsid w:val="00286566"/>
    <w:rsid w:val="00286C2A"/>
    <w:rsid w:val="00293485"/>
    <w:rsid w:val="002939B7"/>
    <w:rsid w:val="00297F98"/>
    <w:rsid w:val="002A4A2E"/>
    <w:rsid w:val="002A761A"/>
    <w:rsid w:val="002C3670"/>
    <w:rsid w:val="002D05A9"/>
    <w:rsid w:val="002D0F2A"/>
    <w:rsid w:val="002D4D2D"/>
    <w:rsid w:val="002E0F80"/>
    <w:rsid w:val="002E180D"/>
    <w:rsid w:val="002F28F9"/>
    <w:rsid w:val="002F3E48"/>
    <w:rsid w:val="002F7DB5"/>
    <w:rsid w:val="002F7F79"/>
    <w:rsid w:val="00311F16"/>
    <w:rsid w:val="00315D48"/>
    <w:rsid w:val="0032319A"/>
    <w:rsid w:val="003347EA"/>
    <w:rsid w:val="0034345F"/>
    <w:rsid w:val="00344F22"/>
    <w:rsid w:val="00345F7D"/>
    <w:rsid w:val="00352F9E"/>
    <w:rsid w:val="00371283"/>
    <w:rsid w:val="00374974"/>
    <w:rsid w:val="00382939"/>
    <w:rsid w:val="00384CD9"/>
    <w:rsid w:val="00385E8A"/>
    <w:rsid w:val="00391370"/>
    <w:rsid w:val="00392B3E"/>
    <w:rsid w:val="00393F1E"/>
    <w:rsid w:val="003B516D"/>
    <w:rsid w:val="003B729C"/>
    <w:rsid w:val="003B72DC"/>
    <w:rsid w:val="003C3DB8"/>
    <w:rsid w:val="003C3E29"/>
    <w:rsid w:val="003C6708"/>
    <w:rsid w:val="003D323F"/>
    <w:rsid w:val="003D42E1"/>
    <w:rsid w:val="003D699E"/>
    <w:rsid w:val="003F03EE"/>
    <w:rsid w:val="003F2349"/>
    <w:rsid w:val="003F30AA"/>
    <w:rsid w:val="004008DF"/>
    <w:rsid w:val="00401890"/>
    <w:rsid w:val="0040485E"/>
    <w:rsid w:val="00404F82"/>
    <w:rsid w:val="004060B8"/>
    <w:rsid w:val="00407E40"/>
    <w:rsid w:val="00410030"/>
    <w:rsid w:val="004252B2"/>
    <w:rsid w:val="004510BB"/>
    <w:rsid w:val="00451A2E"/>
    <w:rsid w:val="004533EA"/>
    <w:rsid w:val="00455160"/>
    <w:rsid w:val="0046018B"/>
    <w:rsid w:val="00461F94"/>
    <w:rsid w:val="00462CA7"/>
    <w:rsid w:val="0046413C"/>
    <w:rsid w:val="0047026D"/>
    <w:rsid w:val="00471C32"/>
    <w:rsid w:val="004769D0"/>
    <w:rsid w:val="0047701D"/>
    <w:rsid w:val="004773F6"/>
    <w:rsid w:val="00483FAC"/>
    <w:rsid w:val="00487783"/>
    <w:rsid w:val="00495029"/>
    <w:rsid w:val="00495C11"/>
    <w:rsid w:val="00496B06"/>
    <w:rsid w:val="00496C29"/>
    <w:rsid w:val="004A1CE9"/>
    <w:rsid w:val="004D1406"/>
    <w:rsid w:val="004D19C1"/>
    <w:rsid w:val="004E11C4"/>
    <w:rsid w:val="004F5BB4"/>
    <w:rsid w:val="004F70B7"/>
    <w:rsid w:val="005002F6"/>
    <w:rsid w:val="005069AA"/>
    <w:rsid w:val="005071BC"/>
    <w:rsid w:val="00510442"/>
    <w:rsid w:val="0051338E"/>
    <w:rsid w:val="005165EE"/>
    <w:rsid w:val="00531D8A"/>
    <w:rsid w:val="0053290D"/>
    <w:rsid w:val="005366F7"/>
    <w:rsid w:val="00537B27"/>
    <w:rsid w:val="00541D7C"/>
    <w:rsid w:val="00547796"/>
    <w:rsid w:val="005613E7"/>
    <w:rsid w:val="005625DF"/>
    <w:rsid w:val="0056681D"/>
    <w:rsid w:val="00570AC9"/>
    <w:rsid w:val="005728FE"/>
    <w:rsid w:val="00574E00"/>
    <w:rsid w:val="00580E42"/>
    <w:rsid w:val="00581836"/>
    <w:rsid w:val="00584ACF"/>
    <w:rsid w:val="005918B1"/>
    <w:rsid w:val="0059696A"/>
    <w:rsid w:val="005A32C6"/>
    <w:rsid w:val="005A5F37"/>
    <w:rsid w:val="005B2AF2"/>
    <w:rsid w:val="005C1B3C"/>
    <w:rsid w:val="005C27BE"/>
    <w:rsid w:val="005C3D1D"/>
    <w:rsid w:val="005D1CDE"/>
    <w:rsid w:val="005D2A40"/>
    <w:rsid w:val="005E0656"/>
    <w:rsid w:val="005E4B97"/>
    <w:rsid w:val="005E51A1"/>
    <w:rsid w:val="005E6580"/>
    <w:rsid w:val="005F1EBA"/>
    <w:rsid w:val="005F3315"/>
    <w:rsid w:val="005F65E3"/>
    <w:rsid w:val="00611020"/>
    <w:rsid w:val="00615314"/>
    <w:rsid w:val="00617B98"/>
    <w:rsid w:val="006224B0"/>
    <w:rsid w:val="00623A1D"/>
    <w:rsid w:val="00641FE8"/>
    <w:rsid w:val="00651236"/>
    <w:rsid w:val="00655758"/>
    <w:rsid w:val="0065704A"/>
    <w:rsid w:val="00657AD2"/>
    <w:rsid w:val="00662C30"/>
    <w:rsid w:val="00675ED3"/>
    <w:rsid w:val="00680E58"/>
    <w:rsid w:val="00684084"/>
    <w:rsid w:val="00690D64"/>
    <w:rsid w:val="00695C7E"/>
    <w:rsid w:val="0069619B"/>
    <w:rsid w:val="006A31AC"/>
    <w:rsid w:val="006B1E7C"/>
    <w:rsid w:val="006B2D41"/>
    <w:rsid w:val="006B5AD5"/>
    <w:rsid w:val="006B789B"/>
    <w:rsid w:val="006C10F4"/>
    <w:rsid w:val="006C3409"/>
    <w:rsid w:val="006D706C"/>
    <w:rsid w:val="006E14F1"/>
    <w:rsid w:val="006F34C8"/>
    <w:rsid w:val="00704694"/>
    <w:rsid w:val="00707D57"/>
    <w:rsid w:val="00712F06"/>
    <w:rsid w:val="00717300"/>
    <w:rsid w:val="0072077F"/>
    <w:rsid w:val="00722FA2"/>
    <w:rsid w:val="00727475"/>
    <w:rsid w:val="00734973"/>
    <w:rsid w:val="00743B4F"/>
    <w:rsid w:val="0075679A"/>
    <w:rsid w:val="0076049D"/>
    <w:rsid w:val="00761984"/>
    <w:rsid w:val="007643A1"/>
    <w:rsid w:val="00777AEC"/>
    <w:rsid w:val="00777D14"/>
    <w:rsid w:val="007807DC"/>
    <w:rsid w:val="0078209B"/>
    <w:rsid w:val="00784A6A"/>
    <w:rsid w:val="007874B0"/>
    <w:rsid w:val="007A15CB"/>
    <w:rsid w:val="007A2A96"/>
    <w:rsid w:val="007B3B01"/>
    <w:rsid w:val="007C400F"/>
    <w:rsid w:val="007D3C61"/>
    <w:rsid w:val="007D73E6"/>
    <w:rsid w:val="007E0524"/>
    <w:rsid w:val="007E1E5A"/>
    <w:rsid w:val="007E6990"/>
    <w:rsid w:val="007E6E29"/>
    <w:rsid w:val="007F360B"/>
    <w:rsid w:val="007F6FA8"/>
    <w:rsid w:val="008001E2"/>
    <w:rsid w:val="00805033"/>
    <w:rsid w:val="008137E8"/>
    <w:rsid w:val="00820982"/>
    <w:rsid w:val="008214ED"/>
    <w:rsid w:val="008455B8"/>
    <w:rsid w:val="008643F7"/>
    <w:rsid w:val="00871835"/>
    <w:rsid w:val="00874095"/>
    <w:rsid w:val="008753A6"/>
    <w:rsid w:val="00876182"/>
    <w:rsid w:val="008816F1"/>
    <w:rsid w:val="0088227C"/>
    <w:rsid w:val="00887A6E"/>
    <w:rsid w:val="008943A1"/>
    <w:rsid w:val="00896323"/>
    <w:rsid w:val="008A5A9B"/>
    <w:rsid w:val="008A636B"/>
    <w:rsid w:val="008A7E7A"/>
    <w:rsid w:val="008B1231"/>
    <w:rsid w:val="008B5960"/>
    <w:rsid w:val="008B5B21"/>
    <w:rsid w:val="008C6D22"/>
    <w:rsid w:val="008D2D59"/>
    <w:rsid w:val="008D5C17"/>
    <w:rsid w:val="008E59C2"/>
    <w:rsid w:val="008F0C7B"/>
    <w:rsid w:val="008F3B98"/>
    <w:rsid w:val="008F44AD"/>
    <w:rsid w:val="008F60F0"/>
    <w:rsid w:val="0090051B"/>
    <w:rsid w:val="00921BAB"/>
    <w:rsid w:val="00922C01"/>
    <w:rsid w:val="0092393B"/>
    <w:rsid w:val="00924698"/>
    <w:rsid w:val="009328EC"/>
    <w:rsid w:val="00934536"/>
    <w:rsid w:val="00935A56"/>
    <w:rsid w:val="0094006F"/>
    <w:rsid w:val="00955161"/>
    <w:rsid w:val="00967E1A"/>
    <w:rsid w:val="00976BE3"/>
    <w:rsid w:val="00977893"/>
    <w:rsid w:val="00982C6E"/>
    <w:rsid w:val="009847E8"/>
    <w:rsid w:val="009852B6"/>
    <w:rsid w:val="0099500B"/>
    <w:rsid w:val="00997969"/>
    <w:rsid w:val="009A2874"/>
    <w:rsid w:val="009A5CA5"/>
    <w:rsid w:val="009A6764"/>
    <w:rsid w:val="009A7A7B"/>
    <w:rsid w:val="009C50F8"/>
    <w:rsid w:val="009C51F9"/>
    <w:rsid w:val="009C7B32"/>
    <w:rsid w:val="009D2048"/>
    <w:rsid w:val="009E03A1"/>
    <w:rsid w:val="009E1DAD"/>
    <w:rsid w:val="009E5E06"/>
    <w:rsid w:val="009E5E8A"/>
    <w:rsid w:val="009F116D"/>
    <w:rsid w:val="009F6AC9"/>
    <w:rsid w:val="009F72FA"/>
    <w:rsid w:val="00A025E8"/>
    <w:rsid w:val="00A02A9E"/>
    <w:rsid w:val="00A03BB8"/>
    <w:rsid w:val="00A05031"/>
    <w:rsid w:val="00A10237"/>
    <w:rsid w:val="00A108B8"/>
    <w:rsid w:val="00A14777"/>
    <w:rsid w:val="00A174E7"/>
    <w:rsid w:val="00A251FD"/>
    <w:rsid w:val="00A34551"/>
    <w:rsid w:val="00A43615"/>
    <w:rsid w:val="00A44EF3"/>
    <w:rsid w:val="00A52BF9"/>
    <w:rsid w:val="00A53559"/>
    <w:rsid w:val="00A55D6E"/>
    <w:rsid w:val="00A60767"/>
    <w:rsid w:val="00A62B79"/>
    <w:rsid w:val="00A72B88"/>
    <w:rsid w:val="00A732AF"/>
    <w:rsid w:val="00A81C34"/>
    <w:rsid w:val="00A84164"/>
    <w:rsid w:val="00A84E1A"/>
    <w:rsid w:val="00A93847"/>
    <w:rsid w:val="00AB5A09"/>
    <w:rsid w:val="00AD6B95"/>
    <w:rsid w:val="00AE5423"/>
    <w:rsid w:val="00AE713C"/>
    <w:rsid w:val="00AF6432"/>
    <w:rsid w:val="00B0053B"/>
    <w:rsid w:val="00B0087B"/>
    <w:rsid w:val="00B05A08"/>
    <w:rsid w:val="00B13390"/>
    <w:rsid w:val="00B15B96"/>
    <w:rsid w:val="00B23130"/>
    <w:rsid w:val="00B32D0E"/>
    <w:rsid w:val="00B40FD7"/>
    <w:rsid w:val="00B4462C"/>
    <w:rsid w:val="00B47980"/>
    <w:rsid w:val="00B56475"/>
    <w:rsid w:val="00B60505"/>
    <w:rsid w:val="00B63D83"/>
    <w:rsid w:val="00B65FA2"/>
    <w:rsid w:val="00B70FD5"/>
    <w:rsid w:val="00B76957"/>
    <w:rsid w:val="00B901FD"/>
    <w:rsid w:val="00B946A2"/>
    <w:rsid w:val="00B950E3"/>
    <w:rsid w:val="00BA13A3"/>
    <w:rsid w:val="00BA260B"/>
    <w:rsid w:val="00BB07CA"/>
    <w:rsid w:val="00BB5B28"/>
    <w:rsid w:val="00BB7EF0"/>
    <w:rsid w:val="00BC23DF"/>
    <w:rsid w:val="00BC479B"/>
    <w:rsid w:val="00BC725E"/>
    <w:rsid w:val="00BE3BDC"/>
    <w:rsid w:val="00BF3CAF"/>
    <w:rsid w:val="00C02C13"/>
    <w:rsid w:val="00C02E77"/>
    <w:rsid w:val="00C061BB"/>
    <w:rsid w:val="00C0674C"/>
    <w:rsid w:val="00C14AB8"/>
    <w:rsid w:val="00C15999"/>
    <w:rsid w:val="00C207FA"/>
    <w:rsid w:val="00C228A7"/>
    <w:rsid w:val="00C23C4C"/>
    <w:rsid w:val="00C40551"/>
    <w:rsid w:val="00C477A3"/>
    <w:rsid w:val="00C47BBC"/>
    <w:rsid w:val="00C50134"/>
    <w:rsid w:val="00C506DA"/>
    <w:rsid w:val="00C51237"/>
    <w:rsid w:val="00C52C1C"/>
    <w:rsid w:val="00C56697"/>
    <w:rsid w:val="00C608C2"/>
    <w:rsid w:val="00C655CA"/>
    <w:rsid w:val="00C660CA"/>
    <w:rsid w:val="00C6663F"/>
    <w:rsid w:val="00C73434"/>
    <w:rsid w:val="00C812E4"/>
    <w:rsid w:val="00C866CC"/>
    <w:rsid w:val="00C90595"/>
    <w:rsid w:val="00C94D3F"/>
    <w:rsid w:val="00C96AB6"/>
    <w:rsid w:val="00CA03E4"/>
    <w:rsid w:val="00CA4403"/>
    <w:rsid w:val="00CA7600"/>
    <w:rsid w:val="00CC6963"/>
    <w:rsid w:val="00CE0322"/>
    <w:rsid w:val="00CE7BE1"/>
    <w:rsid w:val="00CF6CEF"/>
    <w:rsid w:val="00D12972"/>
    <w:rsid w:val="00D15672"/>
    <w:rsid w:val="00D16BDA"/>
    <w:rsid w:val="00D1738B"/>
    <w:rsid w:val="00D241AB"/>
    <w:rsid w:val="00D2587E"/>
    <w:rsid w:val="00D32497"/>
    <w:rsid w:val="00D3410E"/>
    <w:rsid w:val="00D6135C"/>
    <w:rsid w:val="00D657A1"/>
    <w:rsid w:val="00D71A94"/>
    <w:rsid w:val="00D72D8D"/>
    <w:rsid w:val="00D74A22"/>
    <w:rsid w:val="00D77457"/>
    <w:rsid w:val="00D8351B"/>
    <w:rsid w:val="00D86637"/>
    <w:rsid w:val="00D9130B"/>
    <w:rsid w:val="00D928A0"/>
    <w:rsid w:val="00D937AF"/>
    <w:rsid w:val="00DA0581"/>
    <w:rsid w:val="00DA2975"/>
    <w:rsid w:val="00DA60F1"/>
    <w:rsid w:val="00DB0234"/>
    <w:rsid w:val="00DB2CA5"/>
    <w:rsid w:val="00DB64C7"/>
    <w:rsid w:val="00DD27AD"/>
    <w:rsid w:val="00DF5845"/>
    <w:rsid w:val="00DF64B0"/>
    <w:rsid w:val="00DF6B72"/>
    <w:rsid w:val="00E003FA"/>
    <w:rsid w:val="00E00707"/>
    <w:rsid w:val="00E04B0C"/>
    <w:rsid w:val="00E20C07"/>
    <w:rsid w:val="00E210D5"/>
    <w:rsid w:val="00E224EF"/>
    <w:rsid w:val="00E27182"/>
    <w:rsid w:val="00E33CA4"/>
    <w:rsid w:val="00E34074"/>
    <w:rsid w:val="00E350FC"/>
    <w:rsid w:val="00E42FF5"/>
    <w:rsid w:val="00E44CA8"/>
    <w:rsid w:val="00E45CE0"/>
    <w:rsid w:val="00E45E3B"/>
    <w:rsid w:val="00E500E9"/>
    <w:rsid w:val="00E51B8D"/>
    <w:rsid w:val="00E553AC"/>
    <w:rsid w:val="00E60A0E"/>
    <w:rsid w:val="00E659C3"/>
    <w:rsid w:val="00E66649"/>
    <w:rsid w:val="00E75921"/>
    <w:rsid w:val="00E7642C"/>
    <w:rsid w:val="00E9171E"/>
    <w:rsid w:val="00EA003D"/>
    <w:rsid w:val="00EA2DA4"/>
    <w:rsid w:val="00EA3828"/>
    <w:rsid w:val="00EA5A40"/>
    <w:rsid w:val="00EB626D"/>
    <w:rsid w:val="00EC561F"/>
    <w:rsid w:val="00EC6FF4"/>
    <w:rsid w:val="00ED38AD"/>
    <w:rsid w:val="00ED3B0C"/>
    <w:rsid w:val="00ED5C7B"/>
    <w:rsid w:val="00EE35FC"/>
    <w:rsid w:val="00EF157A"/>
    <w:rsid w:val="00EF1EBD"/>
    <w:rsid w:val="00EF30A3"/>
    <w:rsid w:val="00EF7DEB"/>
    <w:rsid w:val="00F0122C"/>
    <w:rsid w:val="00F0635C"/>
    <w:rsid w:val="00F06D1B"/>
    <w:rsid w:val="00F11CFB"/>
    <w:rsid w:val="00F12DC3"/>
    <w:rsid w:val="00F15B42"/>
    <w:rsid w:val="00F17D6E"/>
    <w:rsid w:val="00F21CAE"/>
    <w:rsid w:val="00F33125"/>
    <w:rsid w:val="00F33357"/>
    <w:rsid w:val="00F333F7"/>
    <w:rsid w:val="00F40CB9"/>
    <w:rsid w:val="00F426EA"/>
    <w:rsid w:val="00F51E37"/>
    <w:rsid w:val="00F85A08"/>
    <w:rsid w:val="00F87589"/>
    <w:rsid w:val="00F93A95"/>
    <w:rsid w:val="00FA142F"/>
    <w:rsid w:val="00FA6EDC"/>
    <w:rsid w:val="00FC360A"/>
    <w:rsid w:val="00FC75D9"/>
    <w:rsid w:val="00FD029A"/>
    <w:rsid w:val="00FD33A9"/>
    <w:rsid w:val="00FD4AD9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0AA"/>
  </w:style>
  <w:style w:type="paragraph" w:styleId="Titolo4">
    <w:name w:val="heading 4"/>
    <w:basedOn w:val="Normale"/>
    <w:next w:val="Normale"/>
    <w:link w:val="Titolo4Carattere"/>
    <w:qFormat/>
    <w:rsid w:val="008D2D59"/>
    <w:pPr>
      <w:keepNext/>
      <w:shd w:val="pct20" w:color="auto" w:fill="auto"/>
      <w:ind w:right="5953"/>
      <w:outlineLvl w:val="3"/>
    </w:pPr>
    <w:rPr>
      <w:rFonts w:ascii="Book Antiqua" w:eastAsia="Times New Roman" w:hAnsi="Book Antiqua" w:cs="Times New Roman"/>
      <w:b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7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7E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E7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A7E7A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0A27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7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25D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9348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5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49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974"/>
  </w:style>
  <w:style w:type="paragraph" w:styleId="Pidipagina">
    <w:name w:val="footer"/>
    <w:basedOn w:val="Normale"/>
    <w:link w:val="PidipaginaCarattere"/>
    <w:uiPriority w:val="99"/>
    <w:unhideWhenUsed/>
    <w:rsid w:val="003749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974"/>
  </w:style>
  <w:style w:type="character" w:customStyle="1" w:styleId="Titolo4Carattere">
    <w:name w:val="Titolo 4 Carattere"/>
    <w:basedOn w:val="Carpredefinitoparagrafo"/>
    <w:link w:val="Titolo4"/>
    <w:rsid w:val="008D2D59"/>
    <w:rPr>
      <w:rFonts w:ascii="Book Antiqua" w:eastAsia="Times New Roman" w:hAnsi="Book Antiqua" w:cs="Times New Roman"/>
      <w:b/>
      <w:sz w:val="28"/>
      <w:szCs w:val="20"/>
      <w:shd w:val="pct20" w:color="auto" w:fil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BC725E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0E02C3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4D19C1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EA2DA4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rsid w:val="006F34C8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E350FC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0AA"/>
  </w:style>
  <w:style w:type="paragraph" w:styleId="Titolo4">
    <w:name w:val="heading 4"/>
    <w:basedOn w:val="Normale"/>
    <w:next w:val="Normale"/>
    <w:link w:val="Titolo4Carattere"/>
    <w:qFormat/>
    <w:rsid w:val="008D2D59"/>
    <w:pPr>
      <w:keepNext/>
      <w:shd w:val="pct20" w:color="auto" w:fill="auto"/>
      <w:ind w:right="5953"/>
      <w:outlineLvl w:val="3"/>
    </w:pPr>
    <w:rPr>
      <w:rFonts w:ascii="Book Antiqua" w:eastAsia="Times New Roman" w:hAnsi="Book Antiqua" w:cs="Times New Roman"/>
      <w:b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7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7E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E7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A7E7A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0A27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7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25D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9348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5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49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974"/>
  </w:style>
  <w:style w:type="paragraph" w:styleId="Pidipagina">
    <w:name w:val="footer"/>
    <w:basedOn w:val="Normale"/>
    <w:link w:val="PidipaginaCarattere"/>
    <w:uiPriority w:val="99"/>
    <w:unhideWhenUsed/>
    <w:rsid w:val="003749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974"/>
  </w:style>
  <w:style w:type="character" w:customStyle="1" w:styleId="Titolo4Carattere">
    <w:name w:val="Titolo 4 Carattere"/>
    <w:basedOn w:val="Carpredefinitoparagrafo"/>
    <w:link w:val="Titolo4"/>
    <w:rsid w:val="008D2D59"/>
    <w:rPr>
      <w:rFonts w:ascii="Book Antiqua" w:eastAsia="Times New Roman" w:hAnsi="Book Antiqua" w:cs="Times New Roman"/>
      <w:b/>
      <w:sz w:val="28"/>
      <w:szCs w:val="20"/>
      <w:shd w:val="pct20" w:color="auto" w:fil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BC725E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0E02C3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4D19C1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EA2DA4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rsid w:val="006F34C8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E350F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en-US" sz="1500" b="1" i="0" baseline="0">
                <a:effectLst/>
              </a:rPr>
              <a:t>Quantitativi della merce in entrata per modalità </a:t>
            </a:r>
          </a:p>
          <a:p>
            <a:pPr algn="ctr">
              <a:defRPr/>
            </a:pPr>
            <a:r>
              <a:rPr lang="en-US" sz="1500" b="0" i="0" baseline="0">
                <a:effectLst/>
              </a:rPr>
              <a:t>(tonn/anno)</a:t>
            </a:r>
            <a:endParaRPr lang="en-GB" sz="1500">
              <a:effectLst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siti_provenienza_merce_IN!$B$39:$B$41</c:f>
              <c:strCache>
                <c:ptCount val="3"/>
                <c:pt idx="0">
                  <c:v>Totale flusso IN </c:v>
                </c:pt>
                <c:pt idx="1">
                  <c:v>Tot. ferro IN</c:v>
                </c:pt>
                <c:pt idx="2">
                  <c:v>Tot. gomma IN</c:v>
                </c:pt>
              </c:strCache>
            </c:strRef>
          </c:cat>
          <c:val>
            <c:numRef>
              <c:f>siti_provenienza_merce_IN!$C$39:$C$41</c:f>
              <c:numCache>
                <c:formatCode>#,##0</c:formatCode>
                <c:ptCount val="3"/>
                <c:pt idx="0">
                  <c:v>2775534</c:v>
                </c:pt>
                <c:pt idx="1">
                  <c:v>1650779</c:v>
                </c:pt>
                <c:pt idx="2">
                  <c:v>1124755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246272"/>
        <c:axId val="206247808"/>
      </c:barChart>
      <c:catAx>
        <c:axId val="206246272"/>
        <c:scaling>
          <c:orientation val="minMax"/>
        </c:scaling>
        <c:delete val="0"/>
        <c:axPos val="l"/>
        <c:majorTickMark val="out"/>
        <c:minorTickMark val="none"/>
        <c:tickLblPos val="nextTo"/>
        <c:crossAx val="206247808"/>
        <c:crosses val="autoZero"/>
        <c:auto val="1"/>
        <c:lblAlgn val="ctr"/>
        <c:lblOffset val="100"/>
        <c:noMultiLvlLbl val="0"/>
      </c:catAx>
      <c:valAx>
        <c:axId val="206247808"/>
        <c:scaling>
          <c:orientation val="minMax"/>
        </c:scaling>
        <c:delete val="0"/>
        <c:axPos val="b"/>
        <c:majorGridlines>
          <c:spPr>
            <a:ln>
              <a:prstDash val="dash"/>
            </a:ln>
          </c:spPr>
        </c:majorGridlines>
        <c:numFmt formatCode="#,##0" sourceLinked="1"/>
        <c:majorTickMark val="out"/>
        <c:minorTickMark val="none"/>
        <c:tickLblPos val="nextTo"/>
        <c:crossAx val="206246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en-US" sz="1500" b="1" i="0" baseline="0">
                <a:effectLst/>
              </a:rPr>
              <a:t>Quantitativi della merce in uscita per modalità </a:t>
            </a:r>
            <a:r>
              <a:rPr lang="en-US" sz="1500" b="0" i="0" baseline="0">
                <a:effectLst/>
              </a:rPr>
              <a:t>(tonn/anno)</a:t>
            </a:r>
            <a:endParaRPr lang="en-GB" sz="1500">
              <a:effectLst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siti_destinazione_merce_OUT!$B$45:$B$47</c:f>
              <c:strCache>
                <c:ptCount val="3"/>
                <c:pt idx="0">
                  <c:v>Totale flusso OUT</c:v>
                </c:pt>
                <c:pt idx="1">
                  <c:v>Tot. ferro OUT</c:v>
                </c:pt>
                <c:pt idx="2">
                  <c:v>Tot. gomma OUT</c:v>
                </c:pt>
              </c:strCache>
            </c:strRef>
          </c:cat>
          <c:val>
            <c:numRef>
              <c:f>siti_destinazione_merce_OUT!$C$45:$C$47</c:f>
              <c:numCache>
                <c:formatCode>#,##0</c:formatCode>
                <c:ptCount val="3"/>
                <c:pt idx="0">
                  <c:v>2933708</c:v>
                </c:pt>
                <c:pt idx="1">
                  <c:v>1752108</c:v>
                </c:pt>
                <c:pt idx="2">
                  <c:v>1181600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722304"/>
        <c:axId val="200723840"/>
      </c:barChart>
      <c:catAx>
        <c:axId val="200722304"/>
        <c:scaling>
          <c:orientation val="minMax"/>
        </c:scaling>
        <c:delete val="0"/>
        <c:axPos val="l"/>
        <c:majorTickMark val="out"/>
        <c:minorTickMark val="none"/>
        <c:tickLblPos val="nextTo"/>
        <c:crossAx val="200723840"/>
        <c:crosses val="autoZero"/>
        <c:auto val="1"/>
        <c:lblAlgn val="ctr"/>
        <c:lblOffset val="100"/>
        <c:noMultiLvlLbl val="0"/>
      </c:catAx>
      <c:valAx>
        <c:axId val="200723840"/>
        <c:scaling>
          <c:orientation val="minMax"/>
        </c:scaling>
        <c:delete val="0"/>
        <c:axPos val="b"/>
        <c:majorGridlines>
          <c:spPr>
            <a:ln>
              <a:prstDash val="dash"/>
            </a:ln>
          </c:spPr>
        </c:majorGridlines>
        <c:numFmt formatCode="#,##0" sourceLinked="1"/>
        <c:majorTickMark val="out"/>
        <c:minorTickMark val="none"/>
        <c:tickLblPos val="nextTo"/>
        <c:crossAx val="2007223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AE5D-A119-4312-B404-A58692D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Dallara</dc:creator>
  <cp:lastModifiedBy> </cp:lastModifiedBy>
  <cp:revision>344</cp:revision>
  <cp:lastPrinted>2016-09-07T15:32:00Z</cp:lastPrinted>
  <dcterms:created xsi:type="dcterms:W3CDTF">2016-06-20T07:29:00Z</dcterms:created>
  <dcterms:modified xsi:type="dcterms:W3CDTF">2017-02-15T18:03:00Z</dcterms:modified>
</cp:coreProperties>
</file>