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266BA" w:rsidTr="00E266BA">
        <w:tc>
          <w:tcPr>
            <w:tcW w:w="1250" w:type="pct"/>
            <w:tcBorders>
              <w:top w:val="single" w:sz="8" w:space="0" w:color="54C3E9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shd w:val="clear" w:color="auto" w:fill="35844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CAPOLUOGO</w:t>
            </w:r>
          </w:p>
        </w:tc>
        <w:tc>
          <w:tcPr>
            <w:tcW w:w="1250" w:type="pct"/>
            <w:tcBorders>
              <w:top w:val="single" w:sz="8" w:space="0" w:color="54C3E9"/>
              <w:left w:val="nil"/>
              <w:bottom w:val="single" w:sz="8" w:space="0" w:color="54C3E9"/>
              <w:right w:val="single" w:sz="8" w:space="0" w:color="54C3E9"/>
            </w:tcBorders>
            <w:shd w:val="clear" w:color="auto" w:fill="35844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RETTA 2018/2019</w:t>
            </w:r>
          </w:p>
        </w:tc>
        <w:tc>
          <w:tcPr>
            <w:tcW w:w="1250" w:type="pct"/>
            <w:tcBorders>
              <w:top w:val="single" w:sz="8" w:space="0" w:color="54C3E9"/>
              <w:left w:val="nil"/>
              <w:bottom w:val="single" w:sz="8" w:space="0" w:color="54C3E9"/>
              <w:right w:val="single" w:sz="8" w:space="0" w:color="54C3E9"/>
            </w:tcBorders>
            <w:shd w:val="clear" w:color="auto" w:fill="35844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RETTA 2019/2020</w:t>
            </w:r>
          </w:p>
        </w:tc>
        <w:tc>
          <w:tcPr>
            <w:tcW w:w="1250" w:type="pct"/>
            <w:tcBorders>
              <w:top w:val="single" w:sz="8" w:space="0" w:color="54C3E9"/>
              <w:left w:val="nil"/>
              <w:bottom w:val="single" w:sz="8" w:space="0" w:color="54C3E9"/>
              <w:right w:val="single" w:sz="8" w:space="0" w:color="54C3E9"/>
            </w:tcBorders>
            <w:shd w:val="clear" w:color="auto" w:fill="35844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VARIAZIONE 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BOLOGNA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CESENA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FERRARA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FORLÌ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€ 431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€ 431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MODENA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PARMA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PIACENZA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RAVENNA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€ 235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REGGIO E.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RIMINI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€ 366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</w:rPr>
              <w:t>0,0%</w:t>
            </w:r>
          </w:p>
        </w:tc>
      </w:tr>
      <w:tr w:rsidR="00E266BA" w:rsidTr="00E266BA">
        <w:tc>
          <w:tcPr>
            <w:tcW w:w="1250" w:type="pct"/>
            <w:tcBorders>
              <w:top w:val="nil"/>
              <w:left w:val="single" w:sz="8" w:space="0" w:color="54C3E9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  <w:sz w:val="22"/>
                <w:szCs w:val="22"/>
              </w:rPr>
              <w:t>MEDIA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</w:rPr>
              <w:t>€ 314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</w:rPr>
              <w:t>€ 314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54C3E9"/>
              <w:right w:val="single" w:sz="8" w:space="0" w:color="54C3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</w:rPr>
              <w:t>0,0%</w:t>
            </w:r>
          </w:p>
        </w:tc>
      </w:tr>
    </w:tbl>
    <w:p w:rsidR="00E266BA" w:rsidRDefault="00E266BA" w:rsidP="00E266BA">
      <w:pPr>
        <w:rPr>
          <w:rFonts w:ascii="Calibri" w:hAnsi="Calibri"/>
        </w:rPr>
      </w:pPr>
      <w:r>
        <w:rPr>
          <w:rFonts w:ascii="Frutiger-Light" w:hAnsi="Frutiger-Light"/>
          <w:i/>
          <w:iCs/>
          <w:color w:val="404040"/>
          <w:sz w:val="20"/>
          <w:szCs w:val="20"/>
        </w:rPr>
        <w:t xml:space="preserve">Fonte: </w:t>
      </w:r>
      <w:proofErr w:type="spellStart"/>
      <w:r>
        <w:rPr>
          <w:rFonts w:ascii="Frutiger-Light" w:hAnsi="Frutiger-Light"/>
          <w:i/>
          <w:iCs/>
          <w:color w:val="404040"/>
          <w:sz w:val="20"/>
          <w:szCs w:val="20"/>
        </w:rPr>
        <w:t>Cittadinanzattiva</w:t>
      </w:r>
      <w:proofErr w:type="spellEnd"/>
      <w:r>
        <w:rPr>
          <w:rFonts w:ascii="Frutiger-Light" w:hAnsi="Frutiger-Light"/>
          <w:i/>
          <w:iCs/>
          <w:color w:val="404040"/>
          <w:sz w:val="20"/>
          <w:szCs w:val="20"/>
        </w:rPr>
        <w:t xml:space="preserve"> – Osservatorio </w:t>
      </w:r>
      <w:proofErr w:type="spellStart"/>
      <w:r>
        <w:rPr>
          <w:rFonts w:ascii="Frutiger-Light" w:hAnsi="Frutiger-Light"/>
          <w:i/>
          <w:iCs/>
          <w:color w:val="404040"/>
          <w:sz w:val="20"/>
          <w:szCs w:val="20"/>
        </w:rPr>
        <w:t>Prezzi&amp;Tariffe</w:t>
      </w:r>
      <w:proofErr w:type="spellEnd"/>
      <w:r>
        <w:rPr>
          <w:rFonts w:ascii="Frutiger-Light" w:hAnsi="Frutiger-Light"/>
          <w:i/>
          <w:iCs/>
          <w:color w:val="404040"/>
          <w:sz w:val="20"/>
          <w:szCs w:val="20"/>
        </w:rPr>
        <w:t>, Ottobre 2019</w:t>
      </w:r>
    </w:p>
    <w:p w:rsidR="00E266BA" w:rsidRDefault="00E266BA" w:rsidP="00E266BA">
      <w:pPr>
        <w:rPr>
          <w:rFonts w:ascii="Calibri" w:hAnsi="Calibri"/>
        </w:rPr>
      </w:pPr>
      <w:r>
        <w:rPr>
          <w:rFonts w:ascii="Frutiger-Light" w:hAnsi="Frutiger-Light"/>
          <w:color w:val="404040"/>
          <w:sz w:val="22"/>
          <w:szCs w:val="22"/>
        </w:rPr>
        <w:t> </w:t>
      </w:r>
    </w:p>
    <w:p w:rsidR="00E266BA" w:rsidRDefault="00E266BA" w:rsidP="00E266BA">
      <w:pPr>
        <w:jc w:val="both"/>
        <w:rPr>
          <w:rFonts w:ascii="Calibri" w:hAnsi="Calibri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463"/>
        <w:gridCol w:w="2461"/>
        <w:gridCol w:w="2461"/>
      </w:tblGrid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7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Regione</w:t>
            </w:r>
          </w:p>
        </w:tc>
        <w:tc>
          <w:tcPr>
            <w:tcW w:w="1250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337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Spesa Media mensile per nido comunale 2019/2020</w:t>
            </w:r>
          </w:p>
        </w:tc>
        <w:tc>
          <w:tcPr>
            <w:tcW w:w="1249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337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Variazione %</w:t>
            </w:r>
          </w:p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2019/2020 su 2018/2019</w:t>
            </w:r>
          </w:p>
        </w:tc>
        <w:tc>
          <w:tcPr>
            <w:tcW w:w="1249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337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QUOTA % A CARICO DELLE FAMIGLIE</w:t>
            </w:r>
          </w:p>
        </w:tc>
      </w:tr>
      <w:tr w:rsidR="00E266BA" w:rsidTr="00E266BA">
        <w:tc>
          <w:tcPr>
            <w:tcW w:w="1252" w:type="pct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Abruzzo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€ 297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+ 7,9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17,5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Basilicata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€ 359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21,6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Calabria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€ 170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+ 6,4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10,4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Campania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€ 274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+ 5,2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7,7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Emilia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23,0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Friuli Venezia Giulia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€ 362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15,4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Lazio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€ 287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14,1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Liguria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€ 338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- 3,4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15,2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Lombardia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€ 366,5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 xml:space="preserve">+ 0,1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21,7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Marche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€ 297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25,9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Molise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€ 169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12,2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Piemonte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€ 350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- 3,6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20,0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Puglia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€ 239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+ 10,4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9,6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Sardegna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18,2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Sicilia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€ 213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+ 3,8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6,3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Toscana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€ 324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24,5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Trentino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€ 472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23,6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Umbria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€ 308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20,6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Valle d'Aosta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€ 398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22,4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FFFFFF"/>
                <w:sz w:val="22"/>
                <w:szCs w:val="22"/>
              </w:rPr>
              <w:t>Veneto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€ 351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+ 0,0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color w:val="404040"/>
                <w:sz w:val="22"/>
                <w:szCs w:val="22"/>
              </w:rPr>
              <w:t>26,2</w:t>
            </w:r>
          </w:p>
        </w:tc>
      </w:tr>
      <w:tr w:rsidR="00E266BA" w:rsidTr="00E266BA">
        <w:tc>
          <w:tcPr>
            <w:tcW w:w="12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9B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FFFFFF"/>
                <w:sz w:val="22"/>
                <w:szCs w:val="22"/>
              </w:rPr>
              <w:t>Italia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  <w:sz w:val="22"/>
                <w:szCs w:val="22"/>
              </w:rPr>
              <w:t>€ 303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BA" w:rsidRDefault="00E266BA">
            <w:pPr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  <w:sz w:val="22"/>
                <w:szCs w:val="22"/>
              </w:rPr>
              <w:t>+ 0,9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6BA" w:rsidRDefault="00E266BA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Frutiger-Light" w:hAnsi="Frutiger-Light"/>
                <w:b/>
                <w:bCs/>
                <w:color w:val="404040"/>
                <w:sz w:val="22"/>
                <w:szCs w:val="22"/>
              </w:rPr>
              <w:t>19,4</w:t>
            </w:r>
          </w:p>
        </w:tc>
      </w:tr>
    </w:tbl>
    <w:p w:rsidR="00F25186" w:rsidRDefault="00F25186">
      <w:bookmarkStart w:id="0" w:name="_GoBack"/>
      <w:bookmarkEnd w:id="0"/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A"/>
    <w:rsid w:val="00E266BA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6BA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6BA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2019-10-30T10:27:00Z</dcterms:created>
  <dcterms:modified xsi:type="dcterms:W3CDTF">2019-10-30T10:27:00Z</dcterms:modified>
</cp:coreProperties>
</file>