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13D" w:rsidRPr="00F8013D" w:rsidRDefault="00F8013D" w:rsidP="00F8013D">
      <w:pPr>
        <w:pStyle w:val="xxdefault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Segoe UI"/>
          <w:color w:val="201F1E"/>
          <w:sz w:val="29"/>
          <w:szCs w:val="23"/>
        </w:rPr>
      </w:pPr>
      <w:r w:rsidRPr="00F8013D">
        <w:rPr>
          <w:rStyle w:val="Enfasigrassetto"/>
          <w:rFonts w:ascii="inherit" w:hAnsi="inherit" w:cs="Segoe UI"/>
          <w:color w:val="201F1E"/>
          <w:sz w:val="29"/>
          <w:szCs w:val="23"/>
        </w:rPr>
        <w:t>Continuano a diminuire</w:t>
      </w:r>
      <w:r w:rsidRPr="00F8013D">
        <w:rPr>
          <w:rFonts w:ascii="inherit" w:hAnsi="inherit" w:cs="Segoe UI"/>
          <w:color w:val="201F1E"/>
          <w:sz w:val="29"/>
          <w:szCs w:val="23"/>
        </w:rPr>
        <w:t>, in Emilia-Romagna, le </w:t>
      </w:r>
      <w:r w:rsidRPr="00F8013D">
        <w:rPr>
          <w:rStyle w:val="Enfasigrassetto"/>
          <w:rFonts w:ascii="inherit" w:hAnsi="inherit" w:cs="Segoe UI"/>
          <w:color w:val="201F1E"/>
          <w:sz w:val="29"/>
          <w:szCs w:val="23"/>
        </w:rPr>
        <w:t>interruzioni volontarie di gravidanza</w:t>
      </w:r>
      <w:r w:rsidRPr="00F8013D">
        <w:rPr>
          <w:rFonts w:ascii="inherit" w:hAnsi="inherit" w:cs="Segoe UI"/>
          <w:color w:val="201F1E"/>
          <w:sz w:val="29"/>
          <w:szCs w:val="23"/>
        </w:rPr>
        <w:t>: nel </w:t>
      </w:r>
      <w:r w:rsidRPr="00F8013D">
        <w:rPr>
          <w:rStyle w:val="Enfasigrassetto"/>
          <w:rFonts w:ascii="inherit" w:hAnsi="inherit" w:cs="Segoe UI"/>
          <w:color w:val="201F1E"/>
          <w:sz w:val="29"/>
          <w:szCs w:val="23"/>
        </w:rPr>
        <w:t>2019</w:t>
      </w:r>
      <w:r w:rsidRPr="00F8013D">
        <w:rPr>
          <w:rFonts w:ascii="inherit" w:hAnsi="inherit" w:cs="Segoe UI"/>
          <w:color w:val="201F1E"/>
          <w:sz w:val="29"/>
          <w:szCs w:val="23"/>
        </w:rPr>
        <w:t>, come evidenzia il Report messo a punto dall’assessorato regionale alla Sanità, sono state </w:t>
      </w:r>
      <w:r w:rsidRPr="00F8013D">
        <w:rPr>
          <w:rStyle w:val="Enfasigrassetto"/>
          <w:rFonts w:ascii="inherit" w:hAnsi="inherit" w:cs="Segoe UI"/>
          <w:color w:val="201F1E"/>
          <w:sz w:val="29"/>
          <w:szCs w:val="23"/>
        </w:rPr>
        <w:t>6.501</w:t>
      </w:r>
      <w:r w:rsidRPr="00F8013D">
        <w:rPr>
          <w:rFonts w:ascii="inherit" w:hAnsi="inherit" w:cs="Segoe UI"/>
          <w:color w:val="201F1E"/>
          <w:sz w:val="29"/>
          <w:szCs w:val="23"/>
        </w:rPr>
        <w:t>, il numero più basso di interventi annuali dall’inizio della rilevazione, nel </w:t>
      </w:r>
      <w:r w:rsidRPr="00F8013D">
        <w:rPr>
          <w:rStyle w:val="Enfasigrassetto"/>
          <w:rFonts w:ascii="inherit" w:hAnsi="inherit" w:cs="Segoe UI"/>
          <w:color w:val="201F1E"/>
          <w:sz w:val="29"/>
          <w:szCs w:val="23"/>
        </w:rPr>
        <w:t>1980</w:t>
      </w:r>
      <w:r w:rsidRPr="00F8013D">
        <w:rPr>
          <w:rFonts w:ascii="inherit" w:hAnsi="inherit" w:cs="Segoe UI"/>
          <w:color w:val="201F1E"/>
          <w:sz w:val="29"/>
          <w:szCs w:val="23"/>
        </w:rPr>
        <w:t>. Il dato, in calo rispetto al 2018 </w:t>
      </w:r>
      <w:r w:rsidRPr="00F8013D">
        <w:rPr>
          <w:rStyle w:val="Enfasigrassetto"/>
          <w:rFonts w:ascii="inherit" w:hAnsi="inherit" w:cs="Segoe UI"/>
          <w:color w:val="201F1E"/>
          <w:sz w:val="29"/>
          <w:szCs w:val="23"/>
        </w:rPr>
        <w:t>(-5,4%)</w:t>
      </w:r>
      <w:r w:rsidRPr="00F8013D">
        <w:rPr>
          <w:rFonts w:ascii="inherit" w:hAnsi="inherit" w:cs="Segoe UI"/>
          <w:color w:val="201F1E"/>
          <w:sz w:val="29"/>
          <w:szCs w:val="23"/>
        </w:rPr>
        <w:t xml:space="preserve">, conferma dunque il trend in riduzione che ha caratterizzato più di un decennio, in particolare dal 2004 - quando le </w:t>
      </w:r>
      <w:proofErr w:type="spellStart"/>
      <w:r w:rsidRPr="00F8013D">
        <w:rPr>
          <w:rFonts w:ascii="inherit" w:hAnsi="inherit" w:cs="Segoe UI"/>
          <w:color w:val="201F1E"/>
          <w:sz w:val="29"/>
          <w:szCs w:val="23"/>
        </w:rPr>
        <w:t>Igv</w:t>
      </w:r>
      <w:proofErr w:type="spellEnd"/>
      <w:r w:rsidRPr="00F8013D">
        <w:rPr>
          <w:rFonts w:ascii="inherit" w:hAnsi="inherit" w:cs="Segoe UI"/>
          <w:color w:val="201F1E"/>
          <w:sz w:val="29"/>
          <w:szCs w:val="23"/>
        </w:rPr>
        <w:t xml:space="preserve"> furono quasi 12mila (11.839) - in avanti.</w:t>
      </w:r>
    </w:p>
    <w:p w:rsidR="00F8013D" w:rsidRPr="00F8013D" w:rsidRDefault="00F8013D" w:rsidP="00F8013D">
      <w:pPr>
        <w:pStyle w:val="xxdefault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Segoe UI"/>
          <w:color w:val="201F1E"/>
          <w:sz w:val="29"/>
          <w:szCs w:val="23"/>
        </w:rPr>
      </w:pPr>
      <w:r w:rsidRPr="00F8013D">
        <w:rPr>
          <w:rFonts w:ascii="inherit" w:hAnsi="inherit" w:cs="Segoe UI"/>
          <w:color w:val="201F1E"/>
          <w:sz w:val="29"/>
          <w:szCs w:val="23"/>
        </w:rPr>
        <w:t>E intanto la</w:t>
      </w:r>
      <w:r w:rsidRPr="00F8013D">
        <w:rPr>
          <w:rStyle w:val="Enfasigrassetto"/>
          <w:rFonts w:ascii="inherit" w:hAnsi="inherit" w:cs="Segoe UI"/>
          <w:color w:val="201F1E"/>
          <w:sz w:val="29"/>
          <w:szCs w:val="23"/>
        </w:rPr>
        <w:t> Regione si adegua alle disposizioni nazionali, introducendo </w:t>
      </w:r>
      <w:r w:rsidRPr="00F8013D">
        <w:rPr>
          <w:rFonts w:ascii="inherit" w:hAnsi="inherit" w:cs="Segoe UI"/>
          <w:color w:val="201F1E"/>
          <w:sz w:val="29"/>
          <w:szCs w:val="23"/>
        </w:rPr>
        <w:t>- con una determina della direzione generale dell’assessorato alle Politiche per la salute -</w:t>
      </w:r>
      <w:r w:rsidRPr="00F8013D">
        <w:rPr>
          <w:rStyle w:val="Enfasigrassetto"/>
          <w:rFonts w:ascii="inherit" w:hAnsi="inherit" w:cs="Segoe UI"/>
          <w:color w:val="201F1E"/>
          <w:sz w:val="29"/>
          <w:szCs w:val="23"/>
        </w:rPr>
        <w:t> la possibilità di utilizzare, d’ora in poi, la pillola RU486 fino alla nona settimana di gravidanza</w:t>
      </w:r>
      <w:r w:rsidRPr="00F8013D">
        <w:rPr>
          <w:rFonts w:ascii="inherit" w:hAnsi="inherit" w:cs="Segoe UI"/>
          <w:color w:val="201F1E"/>
          <w:sz w:val="29"/>
          <w:szCs w:val="23"/>
        </w:rPr>
        <w:t xml:space="preserve">, ovvero fino al 63° giorno di amenorrea (assenza del ciclo mestruale). In Emilia-Romagna, </w:t>
      </w:r>
      <w:proofErr w:type="spellStart"/>
      <w:r w:rsidRPr="00F8013D">
        <w:rPr>
          <w:rFonts w:ascii="inherit" w:hAnsi="inherit" w:cs="Segoe UI"/>
          <w:color w:val="201F1E"/>
          <w:sz w:val="29"/>
          <w:szCs w:val="23"/>
        </w:rPr>
        <w:t>infattiera</w:t>
      </w:r>
      <w:proofErr w:type="spellEnd"/>
      <w:r w:rsidRPr="00F8013D">
        <w:rPr>
          <w:rFonts w:ascii="inherit" w:hAnsi="inherit" w:cs="Segoe UI"/>
          <w:color w:val="201F1E"/>
          <w:sz w:val="29"/>
          <w:szCs w:val="23"/>
        </w:rPr>
        <w:t xml:space="preserve"> già possibile ricorrere a questo farmaco per eseguire l’interruzione volontaria di gravidanza, in regime di </w:t>
      </w:r>
      <w:proofErr w:type="spellStart"/>
      <w:r w:rsidRPr="00F8013D">
        <w:rPr>
          <w:rFonts w:ascii="inherit" w:hAnsi="inherit" w:cs="Segoe UI"/>
          <w:color w:val="201F1E"/>
          <w:sz w:val="29"/>
          <w:szCs w:val="23"/>
        </w:rPr>
        <w:t>day</w:t>
      </w:r>
      <w:proofErr w:type="spellEnd"/>
      <w:r w:rsidRPr="00F8013D">
        <w:rPr>
          <w:rFonts w:ascii="inherit" w:hAnsi="inherit" w:cs="Segoe UI"/>
          <w:color w:val="201F1E"/>
          <w:sz w:val="29"/>
          <w:szCs w:val="23"/>
        </w:rPr>
        <w:t xml:space="preserve"> hospital, </w:t>
      </w:r>
      <w:r w:rsidRPr="00F8013D">
        <w:rPr>
          <w:rStyle w:val="Enfasigrassetto"/>
          <w:rFonts w:ascii="inherit" w:hAnsi="inherit" w:cs="Segoe UI"/>
          <w:color w:val="201F1E"/>
          <w:sz w:val="29"/>
          <w:szCs w:val="23"/>
        </w:rPr>
        <w:t>sino alla settima settimana compiuta di gravidanza</w:t>
      </w:r>
      <w:r w:rsidRPr="00F8013D">
        <w:rPr>
          <w:rFonts w:ascii="inherit" w:hAnsi="inherit" w:cs="Segoe UI"/>
          <w:color w:val="201F1E"/>
          <w:sz w:val="29"/>
          <w:szCs w:val="23"/>
        </w:rPr>
        <w:t>; adesso, coerentemente con le disposizioni nazionali, la determina ne estende l’impiego alla nona, quindi dal 49° al 63° giorno di amenorrea. La Regione, inoltre, è al lavoro per </w:t>
      </w:r>
      <w:r w:rsidRPr="00F8013D">
        <w:rPr>
          <w:rStyle w:val="Enfasigrassetto"/>
          <w:rFonts w:ascii="inherit" w:hAnsi="inherit" w:cs="Segoe UI"/>
          <w:color w:val="201F1E"/>
          <w:sz w:val="29"/>
          <w:szCs w:val="23"/>
        </w:rPr>
        <w:t xml:space="preserve">individuare i criteri per consentire l’uso del farmaco non solo in </w:t>
      </w:r>
      <w:proofErr w:type="spellStart"/>
      <w:r w:rsidRPr="00F8013D">
        <w:rPr>
          <w:rStyle w:val="Enfasigrassetto"/>
          <w:rFonts w:ascii="inherit" w:hAnsi="inherit" w:cs="Segoe UI"/>
          <w:color w:val="201F1E"/>
          <w:sz w:val="29"/>
          <w:szCs w:val="23"/>
        </w:rPr>
        <w:t>day</w:t>
      </w:r>
      <w:proofErr w:type="spellEnd"/>
      <w:r w:rsidRPr="00F8013D">
        <w:rPr>
          <w:rStyle w:val="Enfasigrassetto"/>
          <w:rFonts w:ascii="inherit" w:hAnsi="inherit" w:cs="Segoe UI"/>
          <w:color w:val="201F1E"/>
          <w:sz w:val="29"/>
          <w:szCs w:val="23"/>
        </w:rPr>
        <w:t xml:space="preserve"> hospital, ma anche in regime ambulatoriale.</w:t>
      </w:r>
    </w:p>
    <w:p w:rsidR="00F8013D" w:rsidRDefault="00F8013D" w:rsidP="00F8013D">
      <w:pPr>
        <w:pStyle w:val="xxdefault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Segoe UI"/>
          <w:color w:val="201F1E"/>
          <w:sz w:val="29"/>
          <w:szCs w:val="23"/>
        </w:rPr>
      </w:pPr>
      <w:r w:rsidRPr="00F8013D">
        <w:rPr>
          <w:rFonts w:ascii="inherit" w:hAnsi="inherit" w:cs="Segoe UI"/>
          <w:color w:val="201F1E"/>
          <w:sz w:val="29"/>
          <w:szCs w:val="23"/>
        </w:rPr>
        <w:t>“Parliamo di un ambito estremamente delicato e complesso- sottolinea l’assessore regionale alle Politiche per la salute, </w:t>
      </w:r>
      <w:r w:rsidRPr="00F8013D">
        <w:rPr>
          <w:rStyle w:val="Enfasigrassetto"/>
          <w:rFonts w:ascii="inherit" w:hAnsi="inherit" w:cs="Segoe UI"/>
          <w:color w:val="201F1E"/>
          <w:sz w:val="29"/>
          <w:szCs w:val="23"/>
        </w:rPr>
        <w:t xml:space="preserve">Raffaele </w:t>
      </w:r>
      <w:proofErr w:type="spellStart"/>
      <w:r w:rsidRPr="00F8013D">
        <w:rPr>
          <w:rStyle w:val="Enfasigrassetto"/>
          <w:rFonts w:ascii="inherit" w:hAnsi="inherit" w:cs="Segoe UI"/>
          <w:color w:val="201F1E"/>
          <w:sz w:val="29"/>
          <w:szCs w:val="23"/>
        </w:rPr>
        <w:t>Donini</w:t>
      </w:r>
      <w:proofErr w:type="spellEnd"/>
      <w:r w:rsidRPr="00F8013D">
        <w:rPr>
          <w:rFonts w:ascii="inherit" w:hAnsi="inherit" w:cs="Segoe UI"/>
          <w:color w:val="201F1E"/>
          <w:sz w:val="29"/>
          <w:szCs w:val="23"/>
        </w:rPr>
        <w:t>-. Come Regione lavoriamo su due fronti: da un lato recepire sul territorio ciò che prevedono le disposizioni nazionali per garantire gli stessi diritti alle donne, dall’altro continuare a offrire loro aiuto e assistenza lungo l’intero percorso, attraverso strutture e personale altamente qualificato”.</w:t>
      </w:r>
    </w:p>
    <w:p w:rsidR="00F8013D" w:rsidRPr="00F8013D" w:rsidRDefault="00F8013D" w:rsidP="00F8013D">
      <w:pPr>
        <w:pStyle w:val="xxdefault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Segoe UI"/>
          <w:color w:val="201F1E"/>
          <w:sz w:val="29"/>
          <w:szCs w:val="23"/>
        </w:rPr>
      </w:pPr>
    </w:p>
    <w:p w:rsidR="00F8013D" w:rsidRPr="00F8013D" w:rsidRDefault="00F8013D" w:rsidP="00F8013D">
      <w:pPr>
        <w:pStyle w:val="xxdefault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Segoe UI"/>
          <w:color w:val="201F1E"/>
          <w:sz w:val="29"/>
          <w:szCs w:val="23"/>
        </w:rPr>
      </w:pPr>
      <w:r w:rsidRPr="00F8013D">
        <w:rPr>
          <w:rStyle w:val="Enfasigrassetto"/>
          <w:rFonts w:ascii="inherit" w:hAnsi="inherit" w:cs="Segoe UI"/>
          <w:color w:val="201F1E"/>
          <w:sz w:val="29"/>
          <w:szCs w:val="23"/>
        </w:rPr>
        <w:t xml:space="preserve">I dati: </w:t>
      </w:r>
      <w:proofErr w:type="spellStart"/>
      <w:r w:rsidRPr="00F8013D">
        <w:rPr>
          <w:rStyle w:val="Enfasigrassetto"/>
          <w:rFonts w:ascii="inherit" w:hAnsi="inherit" w:cs="Segoe UI"/>
          <w:color w:val="201F1E"/>
          <w:sz w:val="29"/>
          <w:szCs w:val="23"/>
        </w:rPr>
        <w:t>Ivg</w:t>
      </w:r>
      <w:proofErr w:type="spellEnd"/>
      <w:r w:rsidRPr="00F8013D">
        <w:rPr>
          <w:rStyle w:val="Enfasigrassetto"/>
          <w:rFonts w:ascii="inherit" w:hAnsi="inherit" w:cs="Segoe UI"/>
          <w:color w:val="201F1E"/>
          <w:sz w:val="29"/>
          <w:szCs w:val="23"/>
        </w:rPr>
        <w:t xml:space="preserve"> in calo, sia tra italiane che straniere</w:t>
      </w:r>
    </w:p>
    <w:p w:rsidR="00F8013D" w:rsidRPr="00F8013D" w:rsidRDefault="00F8013D" w:rsidP="00F8013D">
      <w:pPr>
        <w:pStyle w:val="xxdefault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Segoe UI"/>
          <w:color w:val="201F1E"/>
          <w:sz w:val="29"/>
          <w:szCs w:val="23"/>
        </w:rPr>
      </w:pPr>
      <w:r w:rsidRPr="00F8013D">
        <w:rPr>
          <w:rFonts w:ascii="inherit" w:hAnsi="inherit" w:cs="Segoe UI"/>
          <w:color w:val="201F1E"/>
          <w:sz w:val="29"/>
          <w:szCs w:val="23"/>
        </w:rPr>
        <w:t>Prosegue il decremento delle Interruzioni volontarie di gravidanza tra da donne residenti in regione </w:t>
      </w:r>
      <w:r w:rsidRPr="00F8013D">
        <w:rPr>
          <w:rStyle w:val="Enfasigrassetto"/>
          <w:rFonts w:ascii="inherit" w:hAnsi="inherit" w:cs="Segoe UI"/>
          <w:color w:val="201F1E"/>
          <w:sz w:val="29"/>
          <w:szCs w:val="23"/>
        </w:rPr>
        <w:t>(5.762)</w:t>
      </w:r>
      <w:r w:rsidRPr="00F8013D">
        <w:rPr>
          <w:rFonts w:ascii="inherit" w:hAnsi="inherit" w:cs="Segoe UI"/>
          <w:color w:val="201F1E"/>
          <w:sz w:val="29"/>
          <w:szCs w:val="23"/>
        </w:rPr>
        <w:t xml:space="preserve">: rispetto all’anno precedente diminuiscono sia gli interventi a carico delle residenti con cittadinanza italiana (3.479; 107 casi in meno del 2018), sia quelli a carico delle residenti con cittadinanza straniera (2.283; 225 casi in meno del 2018). In calo anche il numero delle </w:t>
      </w:r>
      <w:proofErr w:type="spellStart"/>
      <w:r w:rsidRPr="00F8013D">
        <w:rPr>
          <w:rFonts w:ascii="inherit" w:hAnsi="inherit" w:cs="Segoe UI"/>
          <w:color w:val="201F1E"/>
          <w:sz w:val="29"/>
          <w:szCs w:val="23"/>
        </w:rPr>
        <w:t>Ivg</w:t>
      </w:r>
      <w:proofErr w:type="spellEnd"/>
      <w:r w:rsidRPr="00F8013D">
        <w:rPr>
          <w:rFonts w:ascii="inherit" w:hAnsi="inherit" w:cs="Segoe UI"/>
          <w:color w:val="201F1E"/>
          <w:sz w:val="29"/>
          <w:szCs w:val="23"/>
        </w:rPr>
        <w:t xml:space="preserve"> fatte da donne non residenti in Emilia-Romagna (739 in totale; 41 casi in meno rispetto all’anno precedente).</w:t>
      </w:r>
    </w:p>
    <w:p w:rsidR="00F8013D" w:rsidRDefault="00F8013D" w:rsidP="00F8013D">
      <w:pPr>
        <w:pStyle w:val="xxdefault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Segoe UI"/>
          <w:color w:val="201F1E"/>
          <w:sz w:val="29"/>
          <w:szCs w:val="23"/>
        </w:rPr>
      </w:pPr>
      <w:r w:rsidRPr="00F8013D">
        <w:rPr>
          <w:rFonts w:ascii="inherit" w:hAnsi="inherit" w:cs="Segoe UI"/>
          <w:color w:val="201F1E"/>
          <w:sz w:val="29"/>
          <w:szCs w:val="23"/>
        </w:rPr>
        <w:t>Negli ultimi tredici anni, con il calo degli interventi e, in parte, fino al 2010, con la crescita in parallelo della popolazione femminile in età feconda, il </w:t>
      </w:r>
      <w:r w:rsidRPr="00F8013D">
        <w:rPr>
          <w:rStyle w:val="Enfasigrassetto"/>
          <w:rFonts w:ascii="inherit" w:hAnsi="inherit" w:cs="Segoe UI"/>
          <w:color w:val="201F1E"/>
          <w:sz w:val="29"/>
          <w:szCs w:val="23"/>
        </w:rPr>
        <w:t xml:space="preserve">tasso di </w:t>
      </w:r>
      <w:proofErr w:type="spellStart"/>
      <w:r w:rsidRPr="00F8013D">
        <w:rPr>
          <w:rStyle w:val="Enfasigrassetto"/>
          <w:rFonts w:ascii="inherit" w:hAnsi="inherit" w:cs="Segoe UI"/>
          <w:color w:val="201F1E"/>
          <w:sz w:val="29"/>
          <w:szCs w:val="23"/>
        </w:rPr>
        <w:t>abortività</w:t>
      </w:r>
      <w:proofErr w:type="spellEnd"/>
      <w:r w:rsidRPr="00F8013D">
        <w:rPr>
          <w:rStyle w:val="Enfasigrassetto"/>
          <w:rFonts w:ascii="inherit" w:hAnsi="inherit" w:cs="Segoe UI"/>
          <w:color w:val="201F1E"/>
          <w:sz w:val="29"/>
          <w:szCs w:val="23"/>
        </w:rPr>
        <w:t xml:space="preserve"> regionale</w:t>
      </w:r>
      <w:r w:rsidRPr="00F8013D">
        <w:rPr>
          <w:rFonts w:ascii="inherit" w:hAnsi="inherit" w:cs="Segoe UI"/>
          <w:color w:val="201F1E"/>
          <w:sz w:val="29"/>
          <w:szCs w:val="23"/>
        </w:rPr>
        <w:t> (</w:t>
      </w:r>
      <w:proofErr w:type="spellStart"/>
      <w:r w:rsidRPr="00F8013D">
        <w:rPr>
          <w:rFonts w:ascii="inherit" w:hAnsi="inherit" w:cs="Segoe UI"/>
          <w:color w:val="201F1E"/>
          <w:sz w:val="29"/>
          <w:szCs w:val="23"/>
        </w:rPr>
        <w:t>Ivg</w:t>
      </w:r>
      <w:proofErr w:type="spellEnd"/>
      <w:r w:rsidRPr="00F8013D">
        <w:rPr>
          <w:rFonts w:ascii="inherit" w:hAnsi="inherit" w:cs="Segoe UI"/>
          <w:color w:val="201F1E"/>
          <w:sz w:val="29"/>
          <w:szCs w:val="23"/>
        </w:rPr>
        <w:t xml:space="preserve"> di residenti per 1.000 donne residenti in età 15-49) è passato </w:t>
      </w:r>
      <w:r w:rsidRPr="00F8013D">
        <w:rPr>
          <w:rStyle w:val="Enfasigrassetto"/>
          <w:rFonts w:ascii="inherit" w:hAnsi="inherit" w:cs="Segoe UI"/>
          <w:color w:val="201F1E"/>
          <w:sz w:val="29"/>
          <w:szCs w:val="23"/>
        </w:rPr>
        <w:t>dal 10,4%</w:t>
      </w:r>
      <w:r w:rsidRPr="00F8013D">
        <w:rPr>
          <w:rFonts w:ascii="inherit" w:hAnsi="inherit" w:cs="Segoe UI"/>
          <w:color w:val="201F1E"/>
          <w:sz w:val="29"/>
          <w:szCs w:val="23"/>
        </w:rPr>
        <w:t> nel 2004 al </w:t>
      </w:r>
      <w:r w:rsidRPr="00F8013D">
        <w:rPr>
          <w:rStyle w:val="Enfasigrassetto"/>
          <w:rFonts w:ascii="inherit" w:hAnsi="inherit" w:cs="Segoe UI"/>
          <w:color w:val="201F1E"/>
          <w:sz w:val="29"/>
          <w:szCs w:val="23"/>
        </w:rPr>
        <w:t>6,4%</w:t>
      </w:r>
      <w:r w:rsidRPr="00F8013D">
        <w:rPr>
          <w:rFonts w:ascii="inherit" w:hAnsi="inherit" w:cs="Segoe UI"/>
          <w:color w:val="201F1E"/>
          <w:sz w:val="29"/>
          <w:szCs w:val="23"/>
        </w:rPr>
        <w:t xml:space="preserve"> nel 2019. Inoltre, anche il tasso di </w:t>
      </w:r>
      <w:proofErr w:type="spellStart"/>
      <w:r w:rsidRPr="00F8013D">
        <w:rPr>
          <w:rFonts w:ascii="inherit" w:hAnsi="inherit" w:cs="Segoe UI"/>
          <w:color w:val="201F1E"/>
          <w:sz w:val="29"/>
          <w:szCs w:val="23"/>
        </w:rPr>
        <w:t>abortività</w:t>
      </w:r>
      <w:proofErr w:type="spellEnd"/>
      <w:r w:rsidRPr="00F8013D">
        <w:rPr>
          <w:rFonts w:ascii="inherit" w:hAnsi="inherit" w:cs="Segoe UI"/>
          <w:color w:val="201F1E"/>
          <w:sz w:val="29"/>
          <w:szCs w:val="23"/>
        </w:rPr>
        <w:t xml:space="preserve"> della popolazione straniera, sebbene sempre più elevato di quello della popolazione italiana (13,6 rispetto al 4,8), risulta in netto calo nel corso degli anni analizzati (era 40,4 nel 2003).</w:t>
      </w:r>
    </w:p>
    <w:p w:rsidR="00F8013D" w:rsidRDefault="00F8013D" w:rsidP="00F8013D">
      <w:pPr>
        <w:pStyle w:val="xxdefault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Segoe UI"/>
          <w:color w:val="201F1E"/>
          <w:sz w:val="29"/>
          <w:szCs w:val="23"/>
        </w:rPr>
      </w:pPr>
    </w:p>
    <w:p w:rsidR="00F8013D" w:rsidRDefault="00F8013D" w:rsidP="00F8013D">
      <w:pPr>
        <w:pStyle w:val="xxdefault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Segoe UI"/>
          <w:color w:val="201F1E"/>
          <w:sz w:val="29"/>
          <w:szCs w:val="23"/>
        </w:rPr>
      </w:pPr>
    </w:p>
    <w:p w:rsidR="00F8013D" w:rsidRPr="00F8013D" w:rsidRDefault="00F8013D" w:rsidP="00F8013D">
      <w:pPr>
        <w:pStyle w:val="xxdefault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Segoe UI"/>
          <w:color w:val="201F1E"/>
          <w:sz w:val="29"/>
          <w:szCs w:val="23"/>
        </w:rPr>
      </w:pPr>
    </w:p>
    <w:p w:rsidR="00F8013D" w:rsidRPr="00F8013D" w:rsidRDefault="00F8013D" w:rsidP="00F8013D">
      <w:pPr>
        <w:pStyle w:val="xxdefault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Segoe UI"/>
          <w:color w:val="201F1E"/>
          <w:sz w:val="29"/>
          <w:szCs w:val="23"/>
        </w:rPr>
      </w:pPr>
      <w:r w:rsidRPr="00F8013D">
        <w:rPr>
          <w:rStyle w:val="Enfasigrassetto"/>
          <w:rFonts w:ascii="inherit" w:hAnsi="inherit" w:cs="Segoe UI"/>
          <w:color w:val="201F1E"/>
          <w:sz w:val="29"/>
          <w:szCs w:val="23"/>
        </w:rPr>
        <w:lastRenderedPageBreak/>
        <w:t>Il ruolo centrale svolto dai consultori familiari</w:t>
      </w:r>
    </w:p>
    <w:p w:rsidR="00F8013D" w:rsidRPr="00F8013D" w:rsidRDefault="00F8013D" w:rsidP="00F8013D">
      <w:pPr>
        <w:pStyle w:val="xxdefault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Segoe UI"/>
          <w:color w:val="201F1E"/>
          <w:sz w:val="29"/>
          <w:szCs w:val="23"/>
        </w:rPr>
      </w:pPr>
      <w:r w:rsidRPr="00F8013D">
        <w:rPr>
          <w:rFonts w:ascii="inherit" w:hAnsi="inherit" w:cs="Segoe UI"/>
          <w:color w:val="201F1E"/>
          <w:sz w:val="29"/>
          <w:szCs w:val="23"/>
        </w:rPr>
        <w:t>Continua ad essere centrale il ruolo del </w:t>
      </w:r>
      <w:r w:rsidRPr="00F8013D">
        <w:rPr>
          <w:rStyle w:val="Enfasigrassetto"/>
          <w:rFonts w:ascii="inherit" w:hAnsi="inherit" w:cs="Segoe UI"/>
          <w:color w:val="201F1E"/>
          <w:sz w:val="29"/>
          <w:szCs w:val="23"/>
        </w:rPr>
        <w:t>consultorio familiare</w:t>
      </w:r>
      <w:r w:rsidRPr="00F8013D">
        <w:rPr>
          <w:rFonts w:ascii="inherit" w:hAnsi="inherit" w:cs="Segoe UI"/>
          <w:color w:val="201F1E"/>
          <w:sz w:val="29"/>
          <w:szCs w:val="23"/>
        </w:rPr>
        <w:t> nell’assistenza al percorso dell’</w:t>
      </w:r>
      <w:proofErr w:type="spellStart"/>
      <w:r w:rsidRPr="00F8013D">
        <w:rPr>
          <w:rFonts w:ascii="inherit" w:hAnsi="inherit" w:cs="Segoe UI"/>
          <w:color w:val="201F1E"/>
          <w:sz w:val="29"/>
          <w:szCs w:val="23"/>
        </w:rPr>
        <w:t>Ivg</w:t>
      </w:r>
      <w:proofErr w:type="spellEnd"/>
      <w:r w:rsidRPr="00F8013D">
        <w:rPr>
          <w:rFonts w:ascii="inherit" w:hAnsi="inherit" w:cs="Segoe UI"/>
          <w:color w:val="201F1E"/>
          <w:sz w:val="29"/>
          <w:szCs w:val="23"/>
        </w:rPr>
        <w:t xml:space="preserve"> e come luogo della certificazione (71,5% tra le residenti), in crescita rispetto al 2018; la scelta del consultorio </w:t>
      </w:r>
      <w:r w:rsidRPr="00F8013D">
        <w:rPr>
          <w:rStyle w:val="Enfasigrassetto"/>
          <w:rFonts w:ascii="inherit" w:hAnsi="inherit" w:cs="Segoe UI"/>
          <w:color w:val="201F1E"/>
          <w:sz w:val="29"/>
          <w:szCs w:val="23"/>
        </w:rPr>
        <w:t>prevale nettamente fra le cittadine straniere (79,3%)</w:t>
      </w:r>
      <w:r w:rsidRPr="00F8013D">
        <w:rPr>
          <w:rFonts w:ascii="inherit" w:hAnsi="inherit" w:cs="Segoe UI"/>
          <w:color w:val="201F1E"/>
          <w:sz w:val="29"/>
          <w:szCs w:val="23"/>
        </w:rPr>
        <w:t> e, negli ultimi anni, è diventato sempre più un punto di riferimento </w:t>
      </w:r>
      <w:r w:rsidRPr="00F8013D">
        <w:rPr>
          <w:rStyle w:val="Enfasigrassetto"/>
          <w:rFonts w:ascii="inherit" w:hAnsi="inherit" w:cs="Segoe UI"/>
          <w:color w:val="201F1E"/>
          <w:sz w:val="29"/>
          <w:szCs w:val="23"/>
        </w:rPr>
        <w:t>anche per le donne italiane</w:t>
      </w:r>
      <w:r w:rsidRPr="00F8013D">
        <w:rPr>
          <w:rFonts w:ascii="inherit" w:hAnsi="inherit" w:cs="Segoe UI"/>
          <w:color w:val="201F1E"/>
          <w:sz w:val="29"/>
          <w:szCs w:val="23"/>
        </w:rPr>
        <w:t>: nel 2019 le certificazioni effettuate in consultorio riguardano il </w:t>
      </w:r>
      <w:r w:rsidRPr="00F8013D">
        <w:rPr>
          <w:rStyle w:val="Enfasigrassetto"/>
          <w:rFonts w:ascii="inherit" w:hAnsi="inherit" w:cs="Segoe UI"/>
          <w:color w:val="201F1E"/>
          <w:sz w:val="29"/>
          <w:szCs w:val="23"/>
        </w:rPr>
        <w:t>66,4% </w:t>
      </w:r>
      <w:r w:rsidRPr="00F8013D">
        <w:rPr>
          <w:rFonts w:ascii="inherit" w:hAnsi="inherit" w:cs="Segoe UI"/>
          <w:color w:val="201F1E"/>
          <w:sz w:val="29"/>
          <w:szCs w:val="23"/>
        </w:rPr>
        <w:t>delle Interruzioni volontarie di gravidanza effettuate da italiane, in crescita rispetto al 2018; erano il 47,4% nel 2005.</w:t>
      </w:r>
    </w:p>
    <w:p w:rsidR="00F8013D" w:rsidRPr="00F8013D" w:rsidRDefault="00F8013D" w:rsidP="00F8013D">
      <w:pPr>
        <w:pStyle w:val="xxdefault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Segoe UI"/>
          <w:color w:val="201F1E"/>
          <w:sz w:val="29"/>
          <w:szCs w:val="23"/>
        </w:rPr>
      </w:pPr>
      <w:r w:rsidRPr="00F8013D">
        <w:rPr>
          <w:rStyle w:val="Enfasigrassetto"/>
          <w:rFonts w:ascii="inherit" w:hAnsi="inherit" w:cs="Segoe UI"/>
          <w:color w:val="201F1E"/>
          <w:sz w:val="29"/>
          <w:szCs w:val="23"/>
        </w:rPr>
        <w:t>Il profilo socio-demografico delle donne</w:t>
      </w:r>
    </w:p>
    <w:p w:rsidR="00F8013D" w:rsidRPr="00F8013D" w:rsidRDefault="00F8013D" w:rsidP="00F8013D">
      <w:pPr>
        <w:pStyle w:val="xxdefault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Segoe UI"/>
          <w:color w:val="201F1E"/>
          <w:sz w:val="29"/>
          <w:szCs w:val="23"/>
        </w:rPr>
      </w:pPr>
      <w:r w:rsidRPr="00F8013D">
        <w:rPr>
          <w:rFonts w:ascii="inherit" w:hAnsi="inherit" w:cs="Segoe UI"/>
          <w:color w:val="201F1E"/>
          <w:sz w:val="29"/>
          <w:szCs w:val="23"/>
        </w:rPr>
        <w:t>Analizzando le caratteristiche delle donne residenti che hanno fatto ricorso all’</w:t>
      </w:r>
      <w:proofErr w:type="spellStart"/>
      <w:r w:rsidRPr="00F8013D">
        <w:rPr>
          <w:rFonts w:ascii="inherit" w:hAnsi="inherit" w:cs="Segoe UI"/>
          <w:color w:val="201F1E"/>
          <w:sz w:val="29"/>
          <w:szCs w:val="23"/>
        </w:rPr>
        <w:t>Ivg</w:t>
      </w:r>
      <w:proofErr w:type="spellEnd"/>
      <w:r w:rsidRPr="00F8013D">
        <w:rPr>
          <w:rFonts w:ascii="inherit" w:hAnsi="inherit" w:cs="Segoe UI"/>
          <w:color w:val="201F1E"/>
          <w:sz w:val="29"/>
          <w:szCs w:val="23"/>
        </w:rPr>
        <w:t xml:space="preserve"> nel 2019, emerge come la distribuzione per </w:t>
      </w:r>
      <w:r w:rsidRPr="00F8013D">
        <w:rPr>
          <w:rStyle w:val="Enfasigrassetto"/>
          <w:rFonts w:ascii="inherit" w:hAnsi="inherit" w:cs="Segoe UI"/>
          <w:color w:val="201F1E"/>
          <w:sz w:val="29"/>
          <w:szCs w:val="23"/>
        </w:rPr>
        <w:t>classi di età</w:t>
      </w:r>
      <w:r w:rsidRPr="00F8013D">
        <w:rPr>
          <w:rFonts w:ascii="inherit" w:hAnsi="inherit" w:cs="Segoe UI"/>
          <w:color w:val="201F1E"/>
          <w:sz w:val="29"/>
          <w:szCs w:val="23"/>
        </w:rPr>
        <w:t> rimanga abbastanza stabile, anche se tende a spostarsi verso </w:t>
      </w:r>
      <w:r w:rsidRPr="00F8013D">
        <w:rPr>
          <w:rStyle w:val="Enfasigrassetto"/>
          <w:rFonts w:ascii="inherit" w:hAnsi="inherit" w:cs="Segoe UI"/>
          <w:color w:val="201F1E"/>
          <w:sz w:val="29"/>
          <w:szCs w:val="23"/>
        </w:rPr>
        <w:t>quelle più alte</w:t>
      </w:r>
      <w:r w:rsidRPr="00F8013D">
        <w:rPr>
          <w:rFonts w:ascii="inherit" w:hAnsi="inherit" w:cs="Segoe UI"/>
          <w:color w:val="201F1E"/>
          <w:sz w:val="29"/>
          <w:szCs w:val="23"/>
        </w:rPr>
        <w:t>; la maggioranza dei casi sono concentrati nelle classi </w:t>
      </w:r>
      <w:r w:rsidRPr="00F8013D">
        <w:rPr>
          <w:rStyle w:val="Enfasigrassetto"/>
          <w:rFonts w:ascii="inherit" w:hAnsi="inherit" w:cs="Segoe UI"/>
          <w:color w:val="201F1E"/>
          <w:sz w:val="29"/>
          <w:szCs w:val="23"/>
        </w:rPr>
        <w:t>30-34 anni</w:t>
      </w:r>
      <w:r w:rsidRPr="00F8013D">
        <w:rPr>
          <w:rFonts w:ascii="inherit" w:hAnsi="inherit" w:cs="Segoe UI"/>
          <w:color w:val="201F1E"/>
          <w:sz w:val="29"/>
          <w:szCs w:val="23"/>
        </w:rPr>
        <w:t> (23,2%), 35-39 anni (22,5%) e 25-29 anni (19,7%). Il </w:t>
      </w:r>
      <w:r w:rsidRPr="00F8013D">
        <w:rPr>
          <w:rStyle w:val="Enfasigrassetto"/>
          <w:rFonts w:ascii="inherit" w:hAnsi="inherit" w:cs="Segoe UI"/>
          <w:color w:val="201F1E"/>
          <w:sz w:val="29"/>
          <w:szCs w:val="23"/>
        </w:rPr>
        <w:t>55,2% </w:t>
      </w:r>
      <w:r w:rsidRPr="00F8013D">
        <w:rPr>
          <w:rFonts w:ascii="inherit" w:hAnsi="inherit" w:cs="Segoe UI"/>
          <w:color w:val="201F1E"/>
          <w:sz w:val="29"/>
          <w:szCs w:val="23"/>
        </w:rPr>
        <w:t>delle donne risulta </w:t>
      </w:r>
      <w:r w:rsidRPr="00F8013D">
        <w:rPr>
          <w:rStyle w:val="Enfasigrassetto"/>
          <w:rFonts w:ascii="inherit" w:hAnsi="inherit" w:cs="Segoe UI"/>
          <w:color w:val="201F1E"/>
          <w:sz w:val="29"/>
          <w:szCs w:val="23"/>
        </w:rPr>
        <w:t>nubile</w:t>
      </w:r>
      <w:r w:rsidRPr="00F8013D">
        <w:rPr>
          <w:rFonts w:ascii="inherit" w:hAnsi="inherit" w:cs="Segoe UI"/>
          <w:color w:val="201F1E"/>
          <w:sz w:val="29"/>
          <w:szCs w:val="23"/>
        </w:rPr>
        <w:t>, il 38,9% coniugata o unita civilmente, il 5,8% è separata, divorziata o vedova; il 63,2% delle donne risulta avere almeno un figlio.</w:t>
      </w:r>
    </w:p>
    <w:p w:rsidR="00F8013D" w:rsidRPr="00F8013D" w:rsidRDefault="00F8013D" w:rsidP="00F8013D">
      <w:pPr>
        <w:pStyle w:val="xxdefault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Segoe UI"/>
          <w:color w:val="201F1E"/>
          <w:sz w:val="29"/>
          <w:szCs w:val="23"/>
        </w:rPr>
      </w:pPr>
      <w:r w:rsidRPr="00F8013D">
        <w:rPr>
          <w:rFonts w:ascii="inherit" w:hAnsi="inherit" w:cs="Segoe UI"/>
          <w:color w:val="201F1E"/>
          <w:sz w:val="29"/>
          <w:szCs w:val="23"/>
        </w:rPr>
        <w:t>Il </w:t>
      </w:r>
      <w:r w:rsidRPr="00F8013D">
        <w:rPr>
          <w:rStyle w:val="Enfasigrassetto"/>
          <w:rFonts w:ascii="inherit" w:hAnsi="inherit" w:cs="Segoe UI"/>
          <w:color w:val="201F1E"/>
          <w:sz w:val="29"/>
          <w:szCs w:val="23"/>
        </w:rPr>
        <w:t>38,9%</w:t>
      </w:r>
      <w:r w:rsidRPr="00F8013D">
        <w:rPr>
          <w:rFonts w:ascii="inherit" w:hAnsi="inherit" w:cs="Segoe UI"/>
          <w:color w:val="201F1E"/>
          <w:sz w:val="29"/>
          <w:szCs w:val="23"/>
        </w:rPr>
        <w:t> delle donne ha una </w:t>
      </w:r>
      <w:r w:rsidRPr="00F8013D">
        <w:rPr>
          <w:rStyle w:val="Enfasigrassetto"/>
          <w:rFonts w:ascii="inherit" w:hAnsi="inherit" w:cs="Segoe UI"/>
          <w:color w:val="201F1E"/>
          <w:sz w:val="29"/>
          <w:szCs w:val="23"/>
        </w:rPr>
        <w:t>scolarità bassa</w:t>
      </w:r>
      <w:r w:rsidRPr="00F8013D">
        <w:rPr>
          <w:rFonts w:ascii="inherit" w:hAnsi="inherit" w:cs="Segoe UI"/>
          <w:color w:val="201F1E"/>
          <w:sz w:val="29"/>
          <w:szCs w:val="23"/>
        </w:rPr>
        <w:t> (4,6% licenza elementare o nessun titolo e 34,3% diploma di scuola media inferiore), il 45,7% ha un diploma di scuola media superiore e le laureate sono il 15,4%.</w:t>
      </w:r>
    </w:p>
    <w:p w:rsidR="00F8013D" w:rsidRDefault="00F8013D" w:rsidP="00F8013D">
      <w:pPr>
        <w:pStyle w:val="xxdefault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Segoe UI"/>
          <w:color w:val="201F1E"/>
          <w:sz w:val="29"/>
          <w:szCs w:val="23"/>
        </w:rPr>
      </w:pPr>
      <w:r w:rsidRPr="00F8013D">
        <w:rPr>
          <w:rFonts w:ascii="inherit" w:hAnsi="inherit" w:cs="Segoe UI"/>
          <w:color w:val="201F1E"/>
          <w:sz w:val="29"/>
          <w:szCs w:val="23"/>
        </w:rPr>
        <w:t>Il </w:t>
      </w:r>
      <w:r w:rsidRPr="00F8013D">
        <w:rPr>
          <w:rStyle w:val="Enfasigrassetto"/>
          <w:rFonts w:ascii="inherit" w:hAnsi="inherit" w:cs="Segoe UI"/>
          <w:color w:val="201F1E"/>
          <w:sz w:val="29"/>
          <w:szCs w:val="23"/>
        </w:rPr>
        <w:t>55,5%</w:t>
      </w:r>
      <w:r w:rsidRPr="00F8013D">
        <w:rPr>
          <w:rFonts w:ascii="inherit" w:hAnsi="inherit" w:cs="Segoe UI"/>
          <w:color w:val="201F1E"/>
          <w:sz w:val="29"/>
          <w:szCs w:val="23"/>
        </w:rPr>
        <w:t> delle donne risulta </w:t>
      </w:r>
      <w:r w:rsidRPr="00F8013D">
        <w:rPr>
          <w:rStyle w:val="Enfasigrassetto"/>
          <w:rFonts w:ascii="inherit" w:hAnsi="inherit" w:cs="Segoe UI"/>
          <w:color w:val="201F1E"/>
          <w:sz w:val="29"/>
          <w:szCs w:val="23"/>
        </w:rPr>
        <w:t>occupata</w:t>
      </w:r>
      <w:r w:rsidRPr="00F8013D">
        <w:rPr>
          <w:rFonts w:ascii="inherit" w:hAnsi="inherit" w:cs="Segoe UI"/>
          <w:color w:val="201F1E"/>
          <w:sz w:val="29"/>
          <w:szCs w:val="23"/>
        </w:rPr>
        <w:t xml:space="preserve">, il 14,9% casalinga, il 21,6% disoccupata o in cerca di prima occupazione (dato decisamente più elevato rispetto al 9,2% di non occupate tra le residenti che hanno partorito nello stesso anno - dato </w:t>
      </w:r>
      <w:proofErr w:type="spellStart"/>
      <w:r w:rsidRPr="00F8013D">
        <w:rPr>
          <w:rFonts w:ascii="inherit" w:hAnsi="inherit" w:cs="Segoe UI"/>
          <w:color w:val="201F1E"/>
          <w:sz w:val="29"/>
          <w:szCs w:val="23"/>
        </w:rPr>
        <w:t>CedAP</w:t>
      </w:r>
      <w:proofErr w:type="spellEnd"/>
      <w:r w:rsidRPr="00F8013D">
        <w:rPr>
          <w:rFonts w:ascii="inherit" w:hAnsi="inherit" w:cs="Segoe UI"/>
          <w:color w:val="201F1E"/>
          <w:sz w:val="29"/>
          <w:szCs w:val="23"/>
        </w:rPr>
        <w:t xml:space="preserve"> 2019).</w:t>
      </w:r>
    </w:p>
    <w:p w:rsidR="00F8013D" w:rsidRPr="00F8013D" w:rsidRDefault="00F8013D" w:rsidP="00F8013D">
      <w:pPr>
        <w:pStyle w:val="xxdefault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Segoe UI"/>
          <w:color w:val="201F1E"/>
          <w:sz w:val="29"/>
          <w:szCs w:val="23"/>
        </w:rPr>
      </w:pPr>
    </w:p>
    <w:p w:rsidR="00F8013D" w:rsidRPr="00F8013D" w:rsidRDefault="00F8013D" w:rsidP="00F8013D">
      <w:pPr>
        <w:pStyle w:val="xxdefault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Segoe UI"/>
          <w:color w:val="201F1E"/>
          <w:sz w:val="29"/>
          <w:szCs w:val="23"/>
        </w:rPr>
      </w:pPr>
      <w:r w:rsidRPr="00F8013D">
        <w:rPr>
          <w:rStyle w:val="Enfasigrassetto"/>
          <w:rFonts w:ascii="inherit" w:hAnsi="inherit" w:cs="Segoe UI"/>
          <w:color w:val="201F1E"/>
          <w:sz w:val="29"/>
          <w:szCs w:val="23"/>
        </w:rPr>
        <w:t>La modalità: prevale ancora l’intervento chirurgico, in aumento il ricorso all’RU486</w:t>
      </w:r>
    </w:p>
    <w:p w:rsidR="00F8013D" w:rsidRPr="00F8013D" w:rsidRDefault="00F8013D" w:rsidP="00F8013D">
      <w:pPr>
        <w:pStyle w:val="xxdefault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Segoe UI"/>
          <w:color w:val="201F1E"/>
          <w:sz w:val="29"/>
          <w:szCs w:val="23"/>
        </w:rPr>
      </w:pPr>
      <w:r w:rsidRPr="00F8013D">
        <w:rPr>
          <w:rFonts w:ascii="inherit" w:hAnsi="inherit" w:cs="Segoe UI"/>
          <w:color w:val="201F1E"/>
          <w:sz w:val="29"/>
          <w:szCs w:val="23"/>
        </w:rPr>
        <w:t>Per quanto riguarda il tipo di intervento, si conferma come </w:t>
      </w:r>
      <w:r w:rsidRPr="00F8013D">
        <w:rPr>
          <w:rStyle w:val="Enfasigrassetto"/>
          <w:rFonts w:ascii="inherit" w:hAnsi="inherit" w:cs="Segoe UI"/>
          <w:color w:val="201F1E"/>
          <w:sz w:val="29"/>
          <w:szCs w:val="23"/>
        </w:rPr>
        <w:t>prevalente</w:t>
      </w:r>
      <w:r w:rsidRPr="00F8013D">
        <w:rPr>
          <w:rFonts w:ascii="inherit" w:hAnsi="inherit" w:cs="Segoe UI"/>
          <w:color w:val="201F1E"/>
          <w:sz w:val="29"/>
          <w:szCs w:val="23"/>
        </w:rPr>
        <w:t> l’utilizzo dell’</w:t>
      </w:r>
      <w:proofErr w:type="spellStart"/>
      <w:r w:rsidRPr="00F8013D">
        <w:rPr>
          <w:rStyle w:val="Enfasigrassetto"/>
          <w:rFonts w:ascii="inherit" w:hAnsi="inherit" w:cs="Segoe UI"/>
          <w:color w:val="201F1E"/>
          <w:sz w:val="29"/>
          <w:szCs w:val="23"/>
        </w:rPr>
        <w:t>isterosuzione</w:t>
      </w:r>
      <w:proofErr w:type="spellEnd"/>
      <w:r w:rsidRPr="00F8013D">
        <w:rPr>
          <w:rFonts w:ascii="inherit" w:hAnsi="inherit" w:cs="Segoe UI"/>
          <w:color w:val="201F1E"/>
          <w:sz w:val="29"/>
          <w:szCs w:val="23"/>
        </w:rPr>
        <w:t> </w:t>
      </w:r>
      <w:r w:rsidRPr="00F8013D">
        <w:rPr>
          <w:rStyle w:val="Enfasigrassetto"/>
          <w:rFonts w:ascii="inherit" w:hAnsi="inherit" w:cs="Segoe UI"/>
          <w:color w:val="201F1E"/>
          <w:sz w:val="29"/>
          <w:szCs w:val="23"/>
        </w:rPr>
        <w:t>(50,5%</w:t>
      </w:r>
      <w:r w:rsidRPr="00F8013D">
        <w:rPr>
          <w:rFonts w:ascii="inherit" w:hAnsi="inherit" w:cs="Segoe UI"/>
          <w:color w:val="201F1E"/>
          <w:sz w:val="29"/>
          <w:szCs w:val="23"/>
        </w:rPr>
        <w:t>),anche se in calo a favore di un ulteriore aumento di 4 punti percentuali del ricorso al </w:t>
      </w:r>
      <w:r w:rsidRPr="00F8013D">
        <w:rPr>
          <w:rStyle w:val="Enfasigrassetto"/>
          <w:rFonts w:ascii="inherit" w:hAnsi="inherit" w:cs="Segoe UI"/>
          <w:color w:val="201F1E"/>
          <w:sz w:val="29"/>
          <w:szCs w:val="23"/>
        </w:rPr>
        <w:t>trattamento farmacologico (RU486)</w:t>
      </w:r>
      <w:r w:rsidRPr="00F8013D">
        <w:rPr>
          <w:rFonts w:ascii="inherit" w:hAnsi="inherit" w:cs="Segoe UI"/>
          <w:color w:val="201F1E"/>
          <w:sz w:val="29"/>
          <w:szCs w:val="23"/>
        </w:rPr>
        <w:t>, che riguarda 2.498 casi (</w:t>
      </w:r>
      <w:r w:rsidRPr="00F8013D">
        <w:rPr>
          <w:rStyle w:val="Enfasigrassetto"/>
          <w:rFonts w:ascii="inherit" w:hAnsi="inherit" w:cs="Segoe UI"/>
          <w:color w:val="201F1E"/>
          <w:sz w:val="29"/>
          <w:szCs w:val="23"/>
        </w:rPr>
        <w:t>38,4%</w:t>
      </w:r>
      <w:r w:rsidRPr="00F8013D">
        <w:rPr>
          <w:rFonts w:ascii="inherit" w:hAnsi="inherit" w:cs="Segoe UI"/>
          <w:color w:val="201F1E"/>
          <w:sz w:val="29"/>
          <w:szCs w:val="23"/>
        </w:rPr>
        <w:t> del totale).</w:t>
      </w:r>
    </w:p>
    <w:p w:rsidR="00F8013D" w:rsidRDefault="00F8013D" w:rsidP="00F8013D">
      <w:pPr>
        <w:pStyle w:val="xxdefault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Segoe UI"/>
          <w:color w:val="201F1E"/>
          <w:sz w:val="29"/>
          <w:szCs w:val="23"/>
        </w:rPr>
      </w:pPr>
      <w:r w:rsidRPr="00F8013D">
        <w:rPr>
          <w:rFonts w:ascii="inherit" w:hAnsi="inherit" w:cs="Segoe UI"/>
          <w:color w:val="201F1E"/>
          <w:sz w:val="29"/>
          <w:szCs w:val="23"/>
        </w:rPr>
        <w:t>Tra le donne che usufruiscono della </w:t>
      </w:r>
      <w:r w:rsidRPr="00F8013D">
        <w:rPr>
          <w:rStyle w:val="Enfasigrassetto"/>
          <w:rFonts w:ascii="inherit" w:hAnsi="inherit" w:cs="Segoe UI"/>
          <w:color w:val="201F1E"/>
          <w:sz w:val="29"/>
          <w:szCs w:val="23"/>
        </w:rPr>
        <w:t>metodica farmacologica</w:t>
      </w:r>
      <w:r w:rsidRPr="00F8013D">
        <w:rPr>
          <w:rFonts w:ascii="inherit" w:hAnsi="inherit" w:cs="Segoe UI"/>
          <w:color w:val="201F1E"/>
          <w:sz w:val="29"/>
          <w:szCs w:val="23"/>
        </w:rPr>
        <w:t> si riscontra una maggior prevalenza di </w:t>
      </w:r>
      <w:r w:rsidRPr="00F8013D">
        <w:rPr>
          <w:rStyle w:val="Enfasigrassetto"/>
          <w:rFonts w:ascii="inherit" w:hAnsi="inherit" w:cs="Segoe UI"/>
          <w:color w:val="201F1E"/>
          <w:sz w:val="29"/>
          <w:szCs w:val="23"/>
        </w:rPr>
        <w:t>cittadine italiane (65,2%)</w:t>
      </w:r>
      <w:r w:rsidRPr="00F8013D">
        <w:rPr>
          <w:rFonts w:ascii="inherit" w:hAnsi="inherit" w:cs="Segoe UI"/>
          <w:color w:val="201F1E"/>
          <w:sz w:val="29"/>
          <w:szCs w:val="23"/>
        </w:rPr>
        <w:t>,sebbene nel corso degli anni il dato indichi un accesso sempre maggiore anche da parte della popolazione straniera (</w:t>
      </w:r>
      <w:r w:rsidRPr="00F8013D">
        <w:rPr>
          <w:rStyle w:val="Enfasigrassetto"/>
          <w:rFonts w:ascii="inherit" w:hAnsi="inherit" w:cs="Segoe UI"/>
          <w:color w:val="201F1E"/>
          <w:sz w:val="29"/>
          <w:szCs w:val="23"/>
        </w:rPr>
        <w:t>34,8% nel 2019; erano il 21,7% nel 2008)</w:t>
      </w:r>
      <w:r w:rsidRPr="00F8013D">
        <w:rPr>
          <w:rFonts w:ascii="inherit" w:hAnsi="inherit" w:cs="Segoe UI"/>
          <w:color w:val="201F1E"/>
          <w:sz w:val="29"/>
          <w:szCs w:val="23"/>
        </w:rPr>
        <w:t>.</w:t>
      </w:r>
    </w:p>
    <w:p w:rsidR="00F8013D" w:rsidRDefault="00F8013D" w:rsidP="00F8013D">
      <w:pPr>
        <w:pStyle w:val="xxdefault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Segoe UI"/>
          <w:color w:val="201F1E"/>
          <w:sz w:val="29"/>
          <w:szCs w:val="23"/>
        </w:rPr>
      </w:pPr>
    </w:p>
    <w:p w:rsidR="00F8013D" w:rsidRDefault="00F8013D" w:rsidP="00F8013D">
      <w:pPr>
        <w:pStyle w:val="xxdefault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Segoe UI"/>
          <w:color w:val="201F1E"/>
          <w:sz w:val="29"/>
          <w:szCs w:val="23"/>
        </w:rPr>
      </w:pPr>
    </w:p>
    <w:p w:rsidR="00F8013D" w:rsidRDefault="00F8013D" w:rsidP="00F8013D">
      <w:pPr>
        <w:pStyle w:val="xxdefault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Segoe UI"/>
          <w:color w:val="201F1E"/>
          <w:sz w:val="29"/>
          <w:szCs w:val="23"/>
        </w:rPr>
      </w:pPr>
    </w:p>
    <w:p w:rsidR="00F8013D" w:rsidRDefault="00F8013D" w:rsidP="00F8013D">
      <w:pPr>
        <w:pStyle w:val="xxdefault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Segoe UI"/>
          <w:color w:val="201F1E"/>
          <w:sz w:val="29"/>
          <w:szCs w:val="23"/>
        </w:rPr>
      </w:pPr>
    </w:p>
    <w:p w:rsidR="00F8013D" w:rsidRDefault="00F8013D" w:rsidP="00F8013D">
      <w:pPr>
        <w:pStyle w:val="xxdefault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Segoe UI"/>
          <w:color w:val="201F1E"/>
          <w:sz w:val="29"/>
          <w:szCs w:val="23"/>
        </w:rPr>
      </w:pPr>
    </w:p>
    <w:p w:rsidR="00F8013D" w:rsidRDefault="00F8013D" w:rsidP="00F8013D">
      <w:pPr>
        <w:pStyle w:val="xxdefault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Segoe UI"/>
          <w:color w:val="201F1E"/>
          <w:sz w:val="29"/>
          <w:szCs w:val="23"/>
        </w:rPr>
      </w:pPr>
    </w:p>
    <w:p w:rsidR="00F8013D" w:rsidRDefault="00F8013D" w:rsidP="00F8013D">
      <w:pPr>
        <w:pStyle w:val="xxdefault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Segoe UI"/>
          <w:color w:val="201F1E"/>
          <w:sz w:val="29"/>
          <w:szCs w:val="23"/>
        </w:rPr>
      </w:pPr>
    </w:p>
    <w:p w:rsidR="00F8013D" w:rsidRPr="00F8013D" w:rsidRDefault="00F8013D" w:rsidP="00F8013D">
      <w:pPr>
        <w:pStyle w:val="xxdefault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Segoe UI"/>
          <w:color w:val="201F1E"/>
          <w:sz w:val="29"/>
          <w:szCs w:val="23"/>
        </w:rPr>
      </w:pPr>
    </w:p>
    <w:p w:rsidR="00F8013D" w:rsidRPr="00F8013D" w:rsidRDefault="00F8013D" w:rsidP="00F8013D">
      <w:pPr>
        <w:pStyle w:val="xxdefault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Segoe UI"/>
          <w:color w:val="201F1E"/>
          <w:sz w:val="29"/>
          <w:szCs w:val="23"/>
        </w:rPr>
      </w:pPr>
      <w:r w:rsidRPr="00F8013D">
        <w:rPr>
          <w:rStyle w:val="Enfasigrassetto"/>
          <w:rFonts w:ascii="inherit" w:hAnsi="inherit" w:cs="Segoe UI"/>
          <w:color w:val="201F1E"/>
          <w:sz w:val="29"/>
          <w:szCs w:val="23"/>
        </w:rPr>
        <w:t>Obiezione di coscienza in calo. E si riducono i tempi d’attesa</w:t>
      </w:r>
    </w:p>
    <w:p w:rsidR="00F8013D" w:rsidRDefault="00F8013D" w:rsidP="00F8013D">
      <w:pPr>
        <w:pStyle w:val="xxdefault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Segoe UI"/>
          <w:color w:val="201F1E"/>
          <w:sz w:val="29"/>
          <w:szCs w:val="23"/>
        </w:rPr>
      </w:pPr>
      <w:r w:rsidRPr="00F8013D">
        <w:rPr>
          <w:rFonts w:ascii="inherit" w:hAnsi="inherit" w:cs="Segoe UI"/>
          <w:color w:val="201F1E"/>
          <w:sz w:val="29"/>
          <w:szCs w:val="23"/>
        </w:rPr>
        <w:t>L’obiezione di coscienza tra i medici ostetrici-ginecologi sta calando: è passata dal 53,7% del 2018 al </w:t>
      </w:r>
      <w:r w:rsidRPr="00F8013D">
        <w:rPr>
          <w:rStyle w:val="Enfasigrassetto"/>
          <w:rFonts w:ascii="inherit" w:hAnsi="inherit" w:cs="Segoe UI"/>
          <w:color w:val="201F1E"/>
          <w:sz w:val="29"/>
          <w:szCs w:val="23"/>
        </w:rPr>
        <w:t>49,5%</w:t>
      </w:r>
      <w:r w:rsidRPr="00F8013D">
        <w:rPr>
          <w:rFonts w:ascii="inherit" w:hAnsi="inherit" w:cs="Segoe UI"/>
          <w:color w:val="201F1E"/>
          <w:sz w:val="29"/>
          <w:szCs w:val="23"/>
        </w:rPr>
        <w:t xml:space="preserve"> dello scorso anno (il dato nazionale è del 69%). Si riducono i tempi di attesa: sono sempre più le </w:t>
      </w:r>
      <w:proofErr w:type="spellStart"/>
      <w:r w:rsidRPr="00F8013D">
        <w:rPr>
          <w:rFonts w:ascii="inherit" w:hAnsi="inherit" w:cs="Segoe UI"/>
          <w:color w:val="201F1E"/>
          <w:sz w:val="29"/>
          <w:szCs w:val="23"/>
        </w:rPr>
        <w:t>Ivg</w:t>
      </w:r>
      <w:proofErr w:type="spellEnd"/>
      <w:r w:rsidRPr="00F8013D">
        <w:rPr>
          <w:rFonts w:ascii="inherit" w:hAnsi="inherit" w:cs="Segoe UI"/>
          <w:color w:val="201F1E"/>
          <w:sz w:val="29"/>
          <w:szCs w:val="23"/>
        </w:rPr>
        <w:t xml:space="preserve"> effettuate </w:t>
      </w:r>
      <w:r w:rsidRPr="00F8013D">
        <w:rPr>
          <w:rStyle w:val="Enfasigrassetto"/>
          <w:rFonts w:ascii="inherit" w:hAnsi="inherit" w:cs="Segoe UI"/>
          <w:color w:val="201F1E"/>
          <w:sz w:val="29"/>
          <w:szCs w:val="23"/>
        </w:rPr>
        <w:t>entro 15 giorni dal rilascio del certificato</w:t>
      </w:r>
      <w:r w:rsidRPr="00F8013D">
        <w:rPr>
          <w:rFonts w:ascii="inherit" w:hAnsi="inherit" w:cs="Segoe UI"/>
          <w:color w:val="201F1E"/>
          <w:sz w:val="29"/>
          <w:szCs w:val="23"/>
        </w:rPr>
        <w:t> (</w:t>
      </w:r>
      <w:r w:rsidRPr="00F8013D">
        <w:rPr>
          <w:rStyle w:val="Enfasigrassetto"/>
          <w:rFonts w:ascii="inherit" w:hAnsi="inherit" w:cs="Segoe UI"/>
          <w:color w:val="201F1E"/>
          <w:sz w:val="29"/>
          <w:szCs w:val="23"/>
        </w:rPr>
        <w:t>88,1%</w:t>
      </w:r>
      <w:r w:rsidRPr="00F8013D">
        <w:rPr>
          <w:rFonts w:ascii="inherit" w:hAnsi="inherit" w:cs="Segoe UI"/>
          <w:color w:val="201F1E"/>
          <w:sz w:val="29"/>
          <w:szCs w:val="23"/>
        </w:rPr>
        <w:t> nel 2019, rispetto all’83,4% del 2018).</w:t>
      </w:r>
    </w:p>
    <w:p w:rsidR="00F8013D" w:rsidRPr="00F8013D" w:rsidRDefault="00F8013D" w:rsidP="00F8013D">
      <w:pPr>
        <w:pStyle w:val="xxdefault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Segoe UI"/>
          <w:color w:val="201F1E"/>
          <w:sz w:val="29"/>
          <w:szCs w:val="23"/>
        </w:rPr>
      </w:pPr>
    </w:p>
    <w:p w:rsidR="00F8013D" w:rsidRPr="00F8013D" w:rsidRDefault="00F8013D" w:rsidP="00F8013D">
      <w:pPr>
        <w:pStyle w:val="xxdefault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Segoe UI"/>
          <w:color w:val="201F1E"/>
          <w:sz w:val="29"/>
          <w:szCs w:val="23"/>
        </w:rPr>
      </w:pPr>
      <w:r w:rsidRPr="00F8013D">
        <w:rPr>
          <w:rStyle w:val="Enfasigrassetto"/>
          <w:rFonts w:ascii="inherit" w:hAnsi="inherit" w:cs="Segoe UI"/>
          <w:color w:val="201F1E"/>
          <w:sz w:val="29"/>
          <w:szCs w:val="23"/>
        </w:rPr>
        <w:t>Educare all’affettività e alla sessualità, a partire dai banchi di scuola</w:t>
      </w:r>
    </w:p>
    <w:p w:rsidR="00F8013D" w:rsidRDefault="00F8013D" w:rsidP="00F8013D">
      <w:pPr>
        <w:pStyle w:val="xxdefault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Segoe UI"/>
          <w:color w:val="201F1E"/>
          <w:sz w:val="29"/>
          <w:szCs w:val="23"/>
        </w:rPr>
      </w:pPr>
      <w:r w:rsidRPr="00F8013D">
        <w:rPr>
          <w:rFonts w:ascii="inherit" w:hAnsi="inherit" w:cs="Segoe UI"/>
          <w:color w:val="201F1E"/>
          <w:sz w:val="29"/>
          <w:szCs w:val="23"/>
        </w:rPr>
        <w:t xml:space="preserve">Proseguono gli interventi di educazione all’affettività e sessualità da parte degli Spazi Giovani </w:t>
      </w:r>
      <w:proofErr w:type="spellStart"/>
      <w:r w:rsidRPr="00F8013D">
        <w:rPr>
          <w:rFonts w:ascii="inherit" w:hAnsi="inherit" w:cs="Segoe UI"/>
          <w:color w:val="201F1E"/>
          <w:sz w:val="29"/>
          <w:szCs w:val="23"/>
        </w:rPr>
        <w:t>consultoriali</w:t>
      </w:r>
      <w:proofErr w:type="spellEnd"/>
      <w:r w:rsidRPr="00F8013D">
        <w:rPr>
          <w:rFonts w:ascii="inherit" w:hAnsi="inherit" w:cs="Segoe UI"/>
          <w:color w:val="201F1E"/>
          <w:sz w:val="29"/>
          <w:szCs w:val="23"/>
        </w:rPr>
        <w:t xml:space="preserve"> negli istituti scolastici e in realtà </w:t>
      </w:r>
      <w:proofErr w:type="spellStart"/>
      <w:r w:rsidRPr="00F8013D">
        <w:rPr>
          <w:rFonts w:ascii="inherit" w:hAnsi="inherit" w:cs="Segoe UI"/>
          <w:color w:val="201F1E"/>
          <w:sz w:val="29"/>
          <w:szCs w:val="23"/>
        </w:rPr>
        <w:t>extrascuola</w:t>
      </w:r>
      <w:proofErr w:type="spellEnd"/>
      <w:r w:rsidRPr="00F8013D">
        <w:rPr>
          <w:rFonts w:ascii="inherit" w:hAnsi="inherit" w:cs="Segoe UI"/>
          <w:color w:val="201F1E"/>
          <w:sz w:val="29"/>
          <w:szCs w:val="23"/>
        </w:rPr>
        <w:t xml:space="preserve"> (centri di aggregazione giovanile, e così via). Nell’anno scolastico 2018/2019, i progetti hanno coinvolto 43.963 adolescenti, pari al 18,4% della popolazione target. Nell’anno 2019 è stata effettuata una formazione dedicata alle figure professionali (psicologi, ostetriche e ginecologhe) coinvolte nei progetti di educazione affettiva e sessuale rivolti agli adolescenti e agli adulti di riferimento.</w:t>
      </w:r>
    </w:p>
    <w:p w:rsidR="00F8013D" w:rsidRPr="00F8013D" w:rsidRDefault="00F8013D" w:rsidP="00F8013D">
      <w:pPr>
        <w:pStyle w:val="xxdefault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Segoe UI"/>
          <w:color w:val="201F1E"/>
          <w:sz w:val="29"/>
          <w:szCs w:val="23"/>
        </w:rPr>
      </w:pPr>
      <w:bookmarkStart w:id="0" w:name="_GoBack"/>
      <w:bookmarkEnd w:id="0"/>
    </w:p>
    <w:p w:rsidR="00F8013D" w:rsidRPr="00F8013D" w:rsidRDefault="00F8013D" w:rsidP="00F8013D">
      <w:pPr>
        <w:pStyle w:val="xxdefault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Segoe UI"/>
          <w:color w:val="201F1E"/>
          <w:sz w:val="29"/>
          <w:szCs w:val="23"/>
        </w:rPr>
      </w:pPr>
      <w:r w:rsidRPr="00F8013D">
        <w:rPr>
          <w:rStyle w:val="Enfasigrassetto"/>
          <w:rFonts w:ascii="inherit" w:hAnsi="inherit" w:cs="Segoe UI"/>
          <w:color w:val="201F1E"/>
          <w:sz w:val="29"/>
          <w:szCs w:val="23"/>
        </w:rPr>
        <w:t>Dal 1^ gennaio 2018 contraccezione gratuita in regione per determinate fasce d’età</w:t>
      </w:r>
    </w:p>
    <w:p w:rsidR="00F8013D" w:rsidRPr="00F8013D" w:rsidRDefault="00F8013D" w:rsidP="00F8013D">
      <w:pPr>
        <w:pStyle w:val="xxdefault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Segoe UI"/>
          <w:color w:val="201F1E"/>
          <w:sz w:val="29"/>
          <w:szCs w:val="23"/>
        </w:rPr>
      </w:pPr>
      <w:r w:rsidRPr="00F8013D">
        <w:rPr>
          <w:rFonts w:ascii="inherit" w:hAnsi="inherit" w:cs="Segoe UI"/>
          <w:color w:val="201F1E"/>
          <w:sz w:val="29"/>
          <w:szCs w:val="23"/>
        </w:rPr>
        <w:t xml:space="preserve">Dal 1^ gennaio 2018, tutte le donne e gli uomini di età inferiore ai 26 anni residenti ed assistiti possono ricevere gratuitamente il metodo contraccettivo (compresa la contraccezione di emergenza) e una consulenza da parte del medico o dell’ostetrica rivolgendosi ai consultori familiari delle Aziende </w:t>
      </w:r>
      <w:proofErr w:type="spellStart"/>
      <w:r w:rsidRPr="00F8013D">
        <w:rPr>
          <w:rFonts w:ascii="inherit" w:hAnsi="inherit" w:cs="Segoe UI"/>
          <w:color w:val="201F1E"/>
          <w:sz w:val="29"/>
          <w:szCs w:val="23"/>
        </w:rPr>
        <w:t>Usl</w:t>
      </w:r>
      <w:proofErr w:type="spellEnd"/>
      <w:r w:rsidRPr="00F8013D">
        <w:rPr>
          <w:rFonts w:ascii="inherit" w:hAnsi="inherit" w:cs="Segoe UI"/>
          <w:color w:val="201F1E"/>
          <w:sz w:val="29"/>
          <w:szCs w:val="23"/>
        </w:rPr>
        <w:t xml:space="preserve"> o agli Spazi giovani. La contraccezione gratuita è riconosciuta anche a tutte le donne con età compresa tra 26 e 45 anni che abbiano una esenzione per disoccupazione o per lavoratrici colpite dalla crisi, nei 12 mesi successivi a un parto o nei 24 mesi successivi a una interruzione volontaria di gravidanza. Una misura, questa, introdotta da un’apposita delibera della Giunta regionale, per rafforzare gli obiettivi della preservazione della fertilità femminile e maschile e del benessere sessuale, relazionale e riproduttivo di adolescenti e giovani adulti. Dall’analisi dei dati ricavati dal flusso informativo dei consultori familiari (SICO), nel 2019 si osserva un aumento degli utenti che accedono al servizio per contraccezione: </w:t>
      </w:r>
      <w:r w:rsidRPr="00F8013D">
        <w:rPr>
          <w:rStyle w:val="Enfasigrassetto"/>
          <w:rFonts w:ascii="inherit" w:hAnsi="inherit" w:cs="Segoe UI"/>
          <w:color w:val="201F1E"/>
          <w:sz w:val="29"/>
          <w:szCs w:val="23"/>
        </w:rPr>
        <w:t>+27,3%</w:t>
      </w:r>
      <w:r w:rsidRPr="00F8013D">
        <w:rPr>
          <w:rFonts w:ascii="inherit" w:hAnsi="inherit" w:cs="Segoe UI"/>
          <w:color w:val="201F1E"/>
          <w:sz w:val="29"/>
          <w:szCs w:val="23"/>
        </w:rPr>
        <w:t> rispetto al 2018. /</w:t>
      </w:r>
    </w:p>
    <w:p w:rsidR="007F0A47" w:rsidRPr="00F8013D" w:rsidRDefault="007F0A47">
      <w:pPr>
        <w:rPr>
          <w:sz w:val="32"/>
        </w:rPr>
      </w:pPr>
    </w:p>
    <w:sectPr w:rsidR="007F0A47" w:rsidRPr="00F801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13D"/>
    <w:rsid w:val="007F0A47"/>
    <w:rsid w:val="00F8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80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F8013D"/>
    <w:rPr>
      <w:i/>
      <w:iCs/>
    </w:rPr>
  </w:style>
  <w:style w:type="paragraph" w:customStyle="1" w:styleId="xxdefault">
    <w:name w:val="x_x_default"/>
    <w:basedOn w:val="Normale"/>
    <w:rsid w:val="00F80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801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80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F8013D"/>
    <w:rPr>
      <w:i/>
      <w:iCs/>
    </w:rPr>
  </w:style>
  <w:style w:type="paragraph" w:customStyle="1" w:styleId="xxdefault">
    <w:name w:val="x_x_default"/>
    <w:basedOn w:val="Normale"/>
    <w:rsid w:val="00F80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801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562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1086</Words>
  <Characters>6191</Characters>
  <Application>Microsoft Office Word</Application>
  <DocSecurity>0</DocSecurity>
  <Lines>51</Lines>
  <Paragraphs>14</Paragraphs>
  <ScaleCrop>false</ScaleCrop>
  <Company>Hewlett-Packard Company</Company>
  <LinksUpToDate>false</LinksUpToDate>
  <CharactersWithSpaces>7263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Marenghi</dc:creator>
  <cp:lastModifiedBy>Nicoletta Marenghi</cp:lastModifiedBy>
  <cp:revision>1</cp:revision>
  <dcterms:created xsi:type="dcterms:W3CDTF">2020-09-28T16:11:00Z</dcterms:created>
  <dcterms:modified xsi:type="dcterms:W3CDTF">2020-09-28T16:12:00Z</dcterms:modified>
</cp:coreProperties>
</file>